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6E6" w:rsidRDefault="00AF146F" w:rsidP="00AF146F">
      <w:pPr>
        <w:pStyle w:val="Title"/>
        <w:jc w:val="center"/>
        <w:rPr>
          <w:sz w:val="40"/>
          <w:szCs w:val="40"/>
        </w:rPr>
      </w:pPr>
      <w:r w:rsidRPr="00AF146F">
        <w:rPr>
          <w:sz w:val="40"/>
          <w:szCs w:val="40"/>
        </w:rPr>
        <w:t>DRC Monitoring Protocol</w:t>
      </w:r>
    </w:p>
    <w:p w:rsidR="00AF146F" w:rsidRDefault="001B75F0" w:rsidP="00AF146F">
      <w:pPr>
        <w:pStyle w:val="Subtitle"/>
        <w:jc w:val="center"/>
      </w:pPr>
      <w:r>
        <w:t xml:space="preserve">April, </w:t>
      </w:r>
      <w:r w:rsidR="00AF146F">
        <w:t>2021</w:t>
      </w:r>
    </w:p>
    <w:p w:rsidR="001B75F0" w:rsidRPr="001B75F0" w:rsidRDefault="001B75F0" w:rsidP="001B75F0">
      <w:r>
        <w:t>Prepared by</w:t>
      </w:r>
      <w:r w:rsidR="00B17672">
        <w:t>:</w:t>
      </w:r>
      <w:r>
        <w:t xml:space="preserve"> Rica Fulton, Restoration </w:t>
      </w:r>
      <w:r w:rsidR="00B17672">
        <w:t>C</w:t>
      </w:r>
      <w:r>
        <w:t>oordinator, RiversEdge West</w:t>
      </w:r>
    </w:p>
    <w:p w:rsidR="00AF146F" w:rsidRDefault="00AF146F" w:rsidP="00E82551">
      <w:pPr>
        <w:pStyle w:val="Heading1"/>
        <w:numPr>
          <w:ilvl w:val="0"/>
          <w:numId w:val="17"/>
        </w:numPr>
        <w:rPr>
          <w:sz w:val="28"/>
          <w:szCs w:val="28"/>
        </w:rPr>
      </w:pPr>
      <w:r w:rsidRPr="00AF146F">
        <w:rPr>
          <w:sz w:val="28"/>
          <w:szCs w:val="28"/>
        </w:rPr>
        <w:t>Introduction:</w:t>
      </w:r>
    </w:p>
    <w:p w:rsidR="00AF146F" w:rsidRDefault="00AF146F" w:rsidP="00AF146F">
      <w:r>
        <w:t>The Desert Rivers Collaborative</w:t>
      </w:r>
      <w:r w:rsidR="00F0464E">
        <w:t xml:space="preserve"> (DRC)</w:t>
      </w:r>
      <w:r>
        <w:t xml:space="preserve"> was formed in 2012 to collectively address the proliferation of invasive vegetation species along the Colorado and Gunnison Rivers and their tributaries in Mesa and Delta County</w:t>
      </w:r>
      <w:r w:rsidR="00D8681B">
        <w:t>.</w:t>
      </w:r>
      <w:r>
        <w:t xml:space="preserve"> </w:t>
      </w:r>
      <w:r w:rsidR="00F0464E">
        <w:t>The DRC serves as a platform to</w:t>
      </w:r>
      <w:r>
        <w:t xml:space="preserve"> work together</w:t>
      </w:r>
      <w:r w:rsidR="00F0464E">
        <w:t>, share resources, and address</w:t>
      </w:r>
      <w:r>
        <w:t xml:space="preserve"> riparian health at a watershed-scale.</w:t>
      </w:r>
      <w:r w:rsidR="00F10F98">
        <w:t xml:space="preserve"> </w:t>
      </w:r>
      <w:r w:rsidR="00DF0153">
        <w:t>The DRC connects different land owners and land managers</w:t>
      </w:r>
      <w:r w:rsidR="00B80373">
        <w:t xml:space="preserve"> and works across boundaries to create efficiencies, share best-practices, and cultivate relationships focused around riparian and river health. </w:t>
      </w:r>
      <w:r w:rsidR="00F10F98">
        <w:t xml:space="preserve">Restoration work </w:t>
      </w:r>
      <w:r w:rsidR="00B4336B">
        <w:t xml:space="preserve">including initial tamarisk </w:t>
      </w:r>
      <w:r w:rsidR="00507F0B">
        <w:t xml:space="preserve">and Russian olive (TRO) </w:t>
      </w:r>
      <w:r w:rsidR="00B4336B">
        <w:t xml:space="preserve">removal, </w:t>
      </w:r>
      <w:r w:rsidR="00507F0B">
        <w:t xml:space="preserve">TRO re-treatments, secondary weed treatments, and active revegetation </w:t>
      </w:r>
      <w:r w:rsidR="00F10F98">
        <w:t xml:space="preserve">has </w:t>
      </w:r>
      <w:r w:rsidR="00B4336B">
        <w:t>occurred</w:t>
      </w:r>
      <w:r w:rsidR="00F10F98">
        <w:t xml:space="preserve"> </w:t>
      </w:r>
      <w:r w:rsidR="00B4336B">
        <w:t>on almost 3,000 acres since 20</w:t>
      </w:r>
      <w:r w:rsidR="00507F0B">
        <w:t>12</w:t>
      </w:r>
      <w:r w:rsidR="00B4336B">
        <w:t xml:space="preserve"> in the DRC area</w:t>
      </w:r>
      <w:r w:rsidR="00507F0B">
        <w:t>.</w:t>
      </w:r>
      <w:r w:rsidR="00097643">
        <w:t xml:space="preserve"> The DRC utilizes a comprehensive </w:t>
      </w:r>
      <w:hyperlink r:id="rId7" w:history="1">
        <w:r w:rsidR="00097643" w:rsidRPr="00097643">
          <w:rPr>
            <w:rStyle w:val="Hyperlink"/>
          </w:rPr>
          <w:t xml:space="preserve">Implementation Plan </w:t>
        </w:r>
      </w:hyperlink>
      <w:r w:rsidR="00097643">
        <w:t xml:space="preserve">to guide restoration work. </w:t>
      </w:r>
    </w:p>
    <w:p w:rsidR="00376319" w:rsidRDefault="00AF146F" w:rsidP="00AF146F">
      <w:r>
        <w:t>Vegetation monitoring on restoration sites is a critical step in understanding the ecological condition of a site pre-and-post restoration activities</w:t>
      </w:r>
      <w:r w:rsidR="0072041F">
        <w:t>. H</w:t>
      </w:r>
      <w:r w:rsidR="00507F0B">
        <w:t xml:space="preserve">owever, monitoring has been inconsistent on DRC sites given funding and capacity limitations, the patchwork of landownership where restoration work has occurred, and other barriers. </w:t>
      </w:r>
      <w:r w:rsidR="00B46605">
        <w:t xml:space="preserve">Some sites were last monitored in 2018. </w:t>
      </w:r>
      <w:r w:rsidR="00507F0B">
        <w:t xml:space="preserve">RiversEdge West (REW) currently has </w:t>
      </w:r>
      <w:r w:rsidR="0072041F">
        <w:t>procured grant funding</w:t>
      </w:r>
      <w:r w:rsidR="00507F0B">
        <w:t xml:space="preserve"> from Colorado Water Conservation Board (CWCB) to define and implement </w:t>
      </w:r>
      <w:r w:rsidR="0072041F">
        <w:t xml:space="preserve">the following </w:t>
      </w:r>
      <w:r w:rsidR="00507F0B">
        <w:t>monitoring</w:t>
      </w:r>
      <w:r w:rsidR="0072041F">
        <w:t xml:space="preserve"> protocol</w:t>
      </w:r>
      <w:r w:rsidR="00507F0B">
        <w:t xml:space="preserve"> for 2 </w:t>
      </w:r>
      <w:r w:rsidR="0072041F">
        <w:t>seasons</w:t>
      </w:r>
      <w:r w:rsidR="00507F0B">
        <w:t xml:space="preserve"> in the DRC area</w:t>
      </w:r>
      <w:r w:rsidR="00F26B3E">
        <w:t xml:space="preserve"> with consultation with interested partners.</w:t>
      </w:r>
      <w:r w:rsidR="00376319">
        <w:t xml:space="preserve"> </w:t>
      </w:r>
    </w:p>
    <w:p w:rsidR="00AF146F" w:rsidRDefault="00376319" w:rsidP="00AF146F">
      <w:r>
        <w:t xml:space="preserve">The outcomes of this monitoring program and information include quantifiable data to inform the status of restoration sites that have been treated in the past, inform subsequent maintenance and restoration actions on a site-by-site-basis, begin to quantify riparian health at a sub-watershed scale, and engage young adults, community members, DRC partners, and others in stewardship activities in the DRC area. </w:t>
      </w:r>
    </w:p>
    <w:p w:rsidR="00F26B3E" w:rsidRDefault="00F26B3E" w:rsidP="00E82551">
      <w:pPr>
        <w:pStyle w:val="Heading1"/>
        <w:numPr>
          <w:ilvl w:val="1"/>
          <w:numId w:val="17"/>
        </w:numPr>
        <w:rPr>
          <w:sz w:val="28"/>
          <w:szCs w:val="28"/>
        </w:rPr>
      </w:pPr>
      <w:r>
        <w:rPr>
          <w:sz w:val="28"/>
          <w:szCs w:val="28"/>
        </w:rPr>
        <w:t xml:space="preserve">Monitoring </w:t>
      </w:r>
      <w:r w:rsidRPr="00F26B3E">
        <w:rPr>
          <w:sz w:val="28"/>
          <w:szCs w:val="28"/>
        </w:rPr>
        <w:t>Objectives:</w:t>
      </w:r>
    </w:p>
    <w:p w:rsidR="00F26B3E" w:rsidRDefault="00F26B3E" w:rsidP="00F26B3E">
      <w:pPr>
        <w:pStyle w:val="ListParagraph"/>
        <w:numPr>
          <w:ilvl w:val="0"/>
          <w:numId w:val="1"/>
        </w:numPr>
      </w:pPr>
      <w:r>
        <w:t>Determine implementation and maintenance needs for the upcoming season;</w:t>
      </w:r>
    </w:p>
    <w:p w:rsidR="00F26B3E" w:rsidRDefault="00F26B3E" w:rsidP="00F26B3E">
      <w:pPr>
        <w:pStyle w:val="ListParagraph"/>
        <w:numPr>
          <w:ilvl w:val="0"/>
          <w:numId w:val="1"/>
        </w:numPr>
      </w:pPr>
      <w:r>
        <w:t>Track progress/success towards land manager site-specific restoration goals</w:t>
      </w:r>
      <w:r w:rsidR="00376319">
        <w:t xml:space="preserve"> by tracking consistent metrics over time using the same protocol and data collection intervals</w:t>
      </w:r>
      <w:r>
        <w:t>;</w:t>
      </w:r>
    </w:p>
    <w:p w:rsidR="00F26B3E" w:rsidRDefault="00F26B3E" w:rsidP="00F26B3E">
      <w:pPr>
        <w:pStyle w:val="ListParagraph"/>
        <w:numPr>
          <w:ilvl w:val="0"/>
          <w:numId w:val="1"/>
        </w:numPr>
      </w:pPr>
      <w:r>
        <w:t>Inventory and track invasive weed infestations</w:t>
      </w:r>
      <w:r w:rsidR="00376319">
        <w:t xml:space="preserve"> of concern for rapid detection and treatment</w:t>
      </w:r>
      <w:r>
        <w:t>;</w:t>
      </w:r>
    </w:p>
    <w:p w:rsidR="00F26B3E" w:rsidRDefault="00F26B3E" w:rsidP="00F26B3E">
      <w:pPr>
        <w:pStyle w:val="ListParagraph"/>
        <w:numPr>
          <w:ilvl w:val="0"/>
          <w:numId w:val="1"/>
        </w:numPr>
      </w:pPr>
      <w:r>
        <w:t>Track progress towards watershed wide restoration;</w:t>
      </w:r>
      <w:r w:rsidR="00151435">
        <w:t xml:space="preserve"> and</w:t>
      </w:r>
    </w:p>
    <w:p w:rsidR="00D3500D" w:rsidRDefault="00F26B3E" w:rsidP="00151435">
      <w:pPr>
        <w:pStyle w:val="ListParagraph"/>
        <w:numPr>
          <w:ilvl w:val="0"/>
          <w:numId w:val="1"/>
        </w:numPr>
      </w:pPr>
      <w:r>
        <w:t>Formally evaluate restoration method effectiveness and inform adaptive management;</w:t>
      </w:r>
    </w:p>
    <w:p w:rsidR="00F26B3E" w:rsidRDefault="00F26B3E" w:rsidP="00151435">
      <w:pPr>
        <w:pStyle w:val="ListParagraph"/>
        <w:numPr>
          <w:ilvl w:val="0"/>
          <w:numId w:val="1"/>
        </w:numPr>
      </w:pPr>
      <w:r>
        <w:t xml:space="preserve">Inform progress reports and other grantor deliverables. </w:t>
      </w:r>
    </w:p>
    <w:p w:rsidR="0095113F" w:rsidRDefault="0095113F" w:rsidP="00E82551">
      <w:pPr>
        <w:pStyle w:val="Heading1"/>
        <w:numPr>
          <w:ilvl w:val="1"/>
          <w:numId w:val="17"/>
        </w:numPr>
        <w:rPr>
          <w:sz w:val="28"/>
          <w:szCs w:val="28"/>
        </w:rPr>
      </w:pPr>
      <w:r w:rsidRPr="0095113F">
        <w:rPr>
          <w:sz w:val="28"/>
          <w:szCs w:val="28"/>
        </w:rPr>
        <w:t>Mon</w:t>
      </w:r>
      <w:r>
        <w:rPr>
          <w:sz w:val="28"/>
          <w:szCs w:val="28"/>
        </w:rPr>
        <w:t>i</w:t>
      </w:r>
      <w:r w:rsidRPr="0095113F">
        <w:rPr>
          <w:sz w:val="28"/>
          <w:szCs w:val="28"/>
        </w:rPr>
        <w:t>toring products</w:t>
      </w:r>
    </w:p>
    <w:p w:rsidR="0095113F" w:rsidRDefault="0095113F" w:rsidP="0095113F">
      <w:pPr>
        <w:pStyle w:val="ListParagraph"/>
        <w:numPr>
          <w:ilvl w:val="0"/>
          <w:numId w:val="2"/>
        </w:numPr>
      </w:pPr>
      <w:r>
        <w:t xml:space="preserve">Rapid Assessments </w:t>
      </w:r>
    </w:p>
    <w:p w:rsidR="0095113F" w:rsidRDefault="0095113F" w:rsidP="0095113F">
      <w:pPr>
        <w:pStyle w:val="ListParagraph"/>
        <w:numPr>
          <w:ilvl w:val="0"/>
          <w:numId w:val="2"/>
        </w:numPr>
      </w:pPr>
      <w:r>
        <w:t xml:space="preserve">Invasive </w:t>
      </w:r>
      <w:r w:rsidR="00F0464E">
        <w:t>S</w:t>
      </w:r>
      <w:r>
        <w:t xml:space="preserve">pecies </w:t>
      </w:r>
      <w:r w:rsidR="00F0464E">
        <w:t>I</w:t>
      </w:r>
      <w:r>
        <w:t>nventory</w:t>
      </w:r>
    </w:p>
    <w:p w:rsidR="0072041F" w:rsidRDefault="0095113F" w:rsidP="0095113F">
      <w:pPr>
        <w:pStyle w:val="ListParagraph"/>
        <w:numPr>
          <w:ilvl w:val="0"/>
          <w:numId w:val="2"/>
        </w:numPr>
      </w:pPr>
      <w:r>
        <w:t xml:space="preserve">Passive </w:t>
      </w:r>
      <w:r w:rsidR="00F0464E">
        <w:t>R</w:t>
      </w:r>
      <w:r>
        <w:t xml:space="preserve">evegetation </w:t>
      </w:r>
      <w:r w:rsidR="00F0464E">
        <w:t>R</w:t>
      </w:r>
      <w:r>
        <w:t>ecruitment</w:t>
      </w:r>
    </w:p>
    <w:p w:rsidR="0095113F" w:rsidRDefault="0072041F" w:rsidP="0072041F">
      <w:pPr>
        <w:pStyle w:val="ListParagraph"/>
        <w:numPr>
          <w:ilvl w:val="0"/>
          <w:numId w:val="2"/>
        </w:numPr>
      </w:pPr>
      <w:r>
        <w:lastRenderedPageBreak/>
        <w:t>Photo Points</w:t>
      </w:r>
    </w:p>
    <w:p w:rsidR="005E14F5" w:rsidRPr="005E14F5" w:rsidRDefault="00F0464E" w:rsidP="00E82551">
      <w:pPr>
        <w:pStyle w:val="Heading1"/>
        <w:numPr>
          <w:ilvl w:val="1"/>
          <w:numId w:val="17"/>
        </w:numPr>
        <w:rPr>
          <w:sz w:val="28"/>
          <w:szCs w:val="28"/>
        </w:rPr>
      </w:pPr>
      <w:r>
        <w:rPr>
          <w:sz w:val="28"/>
          <w:szCs w:val="28"/>
        </w:rPr>
        <w:t xml:space="preserve">monitoring </w:t>
      </w:r>
      <w:r w:rsidR="005E14F5" w:rsidRPr="005E14F5">
        <w:rPr>
          <w:sz w:val="28"/>
          <w:szCs w:val="28"/>
        </w:rPr>
        <w:t>Sites</w:t>
      </w:r>
    </w:p>
    <w:p w:rsidR="005E14F5" w:rsidRDefault="001B4177" w:rsidP="005E14F5">
      <w:pPr>
        <w:rPr>
          <w:rFonts w:cs="Calibri"/>
          <w:color w:val="000000"/>
          <w:sz w:val="22"/>
          <w:szCs w:val="22"/>
        </w:rPr>
      </w:pPr>
      <w:r w:rsidRPr="001B4177">
        <w:rPr>
          <w:rFonts w:ascii="Calibri" w:hAnsi="Calibri" w:cs="Calibri"/>
          <w:noProof/>
          <w:color w:val="000000"/>
          <w:sz w:val="22"/>
          <w:szCs w:val="22"/>
        </w:rPr>
        <w:drawing>
          <wp:anchor distT="0" distB="0" distL="114300" distR="114300" simplePos="0" relativeHeight="251668480" behindDoc="0" locked="0" layoutInCell="1" allowOverlap="1" wp14:anchorId="55BC5792">
            <wp:simplePos x="0" y="0"/>
            <wp:positionH relativeFrom="column">
              <wp:posOffset>3276600</wp:posOffset>
            </wp:positionH>
            <wp:positionV relativeFrom="paragraph">
              <wp:posOffset>107315</wp:posOffset>
            </wp:positionV>
            <wp:extent cx="2565063" cy="40005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65063" cy="4000500"/>
                    </a:xfrm>
                    <a:prstGeom prst="rect">
                      <a:avLst/>
                    </a:prstGeom>
                  </pic:spPr>
                </pic:pic>
              </a:graphicData>
            </a:graphic>
          </wp:anchor>
        </w:drawing>
      </w:r>
      <w:r w:rsidR="005E14F5">
        <w:rPr>
          <w:rFonts w:cs="Calibri"/>
          <w:color w:val="000000"/>
          <w:sz w:val="22"/>
          <w:szCs w:val="22"/>
        </w:rPr>
        <w:t xml:space="preserve">Each site will be spilt into different monitoring polygons based on past treatment areas, planned treatment areas, or otherwise based on landowner </w:t>
      </w:r>
      <w:r w:rsidR="005734A1">
        <w:rPr>
          <w:rFonts w:cs="Calibri"/>
          <w:color w:val="000000"/>
          <w:sz w:val="22"/>
          <w:szCs w:val="22"/>
        </w:rPr>
        <w:t xml:space="preserve">and land manager </w:t>
      </w:r>
      <w:r w:rsidR="005E14F5">
        <w:rPr>
          <w:rFonts w:cs="Calibri"/>
          <w:color w:val="000000"/>
          <w:sz w:val="22"/>
          <w:szCs w:val="22"/>
        </w:rPr>
        <w:t xml:space="preserve">input. No polygon will be larger than 20 acres, and ideally smaller than 10 acres. Monitors will conduct a separate Rapid Assessment, Invasive Species Inventory, Natural Recruitment Assessment, and acquire Photo points for each separate polygon within each site. </w:t>
      </w:r>
      <w:r w:rsidR="005734A1">
        <w:rPr>
          <w:rFonts w:cs="Calibri"/>
          <w:color w:val="000000"/>
          <w:sz w:val="22"/>
          <w:szCs w:val="22"/>
        </w:rPr>
        <w:t xml:space="preserve">See a list of sites and polygons on page 8. </w:t>
      </w:r>
    </w:p>
    <w:p w:rsidR="005E14F5" w:rsidRPr="005E14F5" w:rsidRDefault="005E14F5" w:rsidP="005E14F5"/>
    <w:p w:rsidR="00042CD2" w:rsidRPr="00F017CE" w:rsidRDefault="00F017CE" w:rsidP="00F017CE">
      <w:pPr>
        <w:pStyle w:val="Heading2"/>
        <w:numPr>
          <w:ilvl w:val="0"/>
          <w:numId w:val="17"/>
        </w:numPr>
        <w:rPr>
          <w:sz w:val="28"/>
          <w:szCs w:val="28"/>
        </w:rPr>
      </w:pPr>
      <w:r w:rsidRPr="00F017CE">
        <w:rPr>
          <w:sz w:val="28"/>
          <w:szCs w:val="28"/>
        </w:rPr>
        <w:t>RAPID ASSESSMENT</w:t>
      </w:r>
    </w:p>
    <w:p w:rsidR="00F017CE" w:rsidRPr="00F017CE" w:rsidRDefault="00F017CE" w:rsidP="00F017CE"/>
    <w:p w:rsidR="002D2393" w:rsidRDefault="0072041F" w:rsidP="00CB245A">
      <w:pPr>
        <w:rPr>
          <w:rFonts w:ascii="Calibri" w:hAnsi="Calibri" w:cs="Calibri"/>
          <w:color w:val="000000"/>
          <w:sz w:val="22"/>
          <w:szCs w:val="22"/>
        </w:rPr>
      </w:pPr>
      <w:r>
        <w:rPr>
          <w:noProof/>
        </w:rPr>
        <mc:AlternateContent>
          <mc:Choice Requires="wps">
            <w:drawing>
              <wp:anchor distT="0" distB="0" distL="114300" distR="114300" simplePos="0" relativeHeight="251665408" behindDoc="0" locked="0" layoutInCell="1" allowOverlap="1" wp14:anchorId="21323EBA" wp14:editId="1F9D19B9">
                <wp:simplePos x="0" y="0"/>
                <wp:positionH relativeFrom="column">
                  <wp:posOffset>3276600</wp:posOffset>
                </wp:positionH>
                <wp:positionV relativeFrom="paragraph">
                  <wp:posOffset>1323975</wp:posOffset>
                </wp:positionV>
                <wp:extent cx="3573780" cy="266700"/>
                <wp:effectExtent l="0" t="0" r="7620" b="0"/>
                <wp:wrapSquare wrapText="bothSides"/>
                <wp:docPr id="5" name="Text Box 5"/>
                <wp:cNvGraphicFramePr/>
                <a:graphic xmlns:a="http://schemas.openxmlformats.org/drawingml/2006/main">
                  <a:graphicData uri="http://schemas.microsoft.com/office/word/2010/wordprocessingShape">
                    <wps:wsp>
                      <wps:cNvSpPr txBox="1"/>
                      <wps:spPr>
                        <a:xfrm>
                          <a:off x="0" y="0"/>
                          <a:ext cx="3573780" cy="266700"/>
                        </a:xfrm>
                        <a:prstGeom prst="rect">
                          <a:avLst/>
                        </a:prstGeom>
                        <a:solidFill>
                          <a:prstClr val="white"/>
                        </a:solidFill>
                        <a:ln>
                          <a:noFill/>
                        </a:ln>
                      </wps:spPr>
                      <wps:txbx>
                        <w:txbxContent>
                          <w:p w:rsidR="00286C56" w:rsidRPr="00855E0C" w:rsidRDefault="00286C56" w:rsidP="00286C56">
                            <w:pPr>
                              <w:pStyle w:val="Caption"/>
                              <w:rPr>
                                <w:caps/>
                                <w:noProof/>
                                <w:color w:val="auto"/>
                                <w:sz w:val="36"/>
                                <w:szCs w:val="36"/>
                              </w:rPr>
                            </w:pPr>
                            <w:r>
                              <w:t>Figure 1. Rapid Assessment data sheet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23EBA" id="_x0000_t202" coordsize="21600,21600" o:spt="202" path="m,l,21600r21600,l21600,xe">
                <v:stroke joinstyle="miter"/>
                <v:path gradientshapeok="t" o:connecttype="rect"/>
              </v:shapetype>
              <v:shape id="Text Box 5" o:spid="_x0000_s1026" type="#_x0000_t202" style="position:absolute;margin-left:258pt;margin-top:104.25pt;width:281.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" stroked="f">
                <v:textbox inset="0,0,0,0">
                  <w:txbxContent>
                    <w:p w:rsidR="00286C56" w:rsidRPr="00855E0C" w:rsidRDefault="00286C56" w:rsidP="00286C56">
                      <w:pPr>
                        <w:pStyle w:val="Caption"/>
                        <w:rPr>
                          <w:caps/>
                          <w:noProof/>
                          <w:color w:val="auto"/>
                          <w:sz w:val="36"/>
                          <w:szCs w:val="36"/>
                        </w:rPr>
                      </w:pPr>
                      <w:r>
                        <w:t>Figure 1. Rapid Assessment data sheet</w:t>
                      </w:r>
                    </w:p>
                  </w:txbxContent>
                </v:textbox>
                <w10:wrap type="square"/>
              </v:shape>
            </w:pict>
          </mc:Fallback>
        </mc:AlternateContent>
      </w:r>
      <w:r w:rsidR="000A157B">
        <w:rPr>
          <w:rFonts w:ascii="Calibri" w:hAnsi="Calibri" w:cs="Calibri"/>
          <w:color w:val="000000"/>
          <w:sz w:val="22"/>
          <w:szCs w:val="22"/>
        </w:rPr>
        <w:t>Rapid assessment</w:t>
      </w:r>
      <w:r w:rsidR="005734A1">
        <w:rPr>
          <w:rFonts w:ascii="Calibri" w:hAnsi="Calibri" w:cs="Calibri"/>
          <w:color w:val="000000"/>
          <w:sz w:val="22"/>
          <w:szCs w:val="22"/>
        </w:rPr>
        <w:t>s</w:t>
      </w:r>
      <w:r w:rsidR="000A157B">
        <w:rPr>
          <w:rFonts w:ascii="Calibri" w:hAnsi="Calibri" w:cs="Calibri"/>
          <w:color w:val="000000"/>
          <w:sz w:val="22"/>
          <w:szCs w:val="22"/>
        </w:rPr>
        <w:t xml:space="preserve"> include</w:t>
      </w:r>
      <w:r w:rsidR="00283AEF">
        <w:rPr>
          <w:rFonts w:ascii="Calibri" w:hAnsi="Calibri" w:cs="Calibri"/>
          <w:color w:val="000000"/>
          <w:sz w:val="22"/>
          <w:szCs w:val="22"/>
        </w:rPr>
        <w:t xml:space="preserve"> ocular</w:t>
      </w:r>
      <w:r w:rsidR="000A157B">
        <w:rPr>
          <w:rFonts w:ascii="Calibri" w:hAnsi="Calibri" w:cs="Calibri"/>
          <w:color w:val="000000"/>
          <w:sz w:val="22"/>
          <w:szCs w:val="22"/>
        </w:rPr>
        <w:t xml:space="preserve"> estimates of relative cover </w:t>
      </w:r>
      <w:r w:rsidR="00D33C0A">
        <w:rPr>
          <w:rFonts w:ascii="Calibri" w:hAnsi="Calibri" w:cs="Calibri"/>
          <w:color w:val="000000"/>
          <w:sz w:val="22"/>
          <w:szCs w:val="22"/>
        </w:rPr>
        <w:t>of</w:t>
      </w:r>
      <w:r w:rsidR="000A157B">
        <w:rPr>
          <w:rFonts w:ascii="Calibri" w:hAnsi="Calibri" w:cs="Calibri"/>
          <w:color w:val="000000"/>
          <w:sz w:val="22"/>
          <w:szCs w:val="22"/>
        </w:rPr>
        <w:t xml:space="preserve"> native species as a whole</w:t>
      </w:r>
      <w:r w:rsidR="00D33C0A">
        <w:rPr>
          <w:rFonts w:ascii="Calibri" w:hAnsi="Calibri" w:cs="Calibri"/>
          <w:color w:val="000000"/>
          <w:sz w:val="22"/>
          <w:szCs w:val="22"/>
        </w:rPr>
        <w:t xml:space="preserve"> within each polygon.</w:t>
      </w:r>
      <w:r w:rsidR="000A157B">
        <w:rPr>
          <w:rFonts w:ascii="Calibri" w:hAnsi="Calibri" w:cs="Calibri"/>
          <w:color w:val="000000"/>
          <w:sz w:val="22"/>
          <w:szCs w:val="22"/>
        </w:rPr>
        <w:t xml:space="preserve"> </w:t>
      </w:r>
      <w:r w:rsidR="00D33C0A">
        <w:rPr>
          <w:rFonts w:ascii="Calibri" w:hAnsi="Calibri" w:cs="Calibri"/>
          <w:color w:val="000000"/>
          <w:sz w:val="22"/>
          <w:szCs w:val="22"/>
        </w:rPr>
        <w:t>This assessment i</w:t>
      </w:r>
      <w:r w:rsidR="000A157B">
        <w:rPr>
          <w:rFonts w:ascii="Calibri" w:hAnsi="Calibri" w:cs="Calibri"/>
          <w:color w:val="000000"/>
          <w:sz w:val="22"/>
          <w:szCs w:val="22"/>
        </w:rPr>
        <w:t>nclud</w:t>
      </w:r>
      <w:r w:rsidR="00D33C0A">
        <w:rPr>
          <w:rFonts w:ascii="Calibri" w:hAnsi="Calibri" w:cs="Calibri"/>
          <w:color w:val="000000"/>
          <w:sz w:val="22"/>
          <w:szCs w:val="22"/>
        </w:rPr>
        <w:t>es both</w:t>
      </w:r>
      <w:r w:rsidR="000A157B">
        <w:rPr>
          <w:rFonts w:ascii="Calibri" w:hAnsi="Calibri" w:cs="Calibri"/>
          <w:color w:val="000000"/>
          <w:sz w:val="22"/>
          <w:szCs w:val="22"/>
        </w:rPr>
        <w:t xml:space="preserve"> woody and herbaceous species</w:t>
      </w:r>
      <w:r w:rsidR="00D33C0A">
        <w:rPr>
          <w:rFonts w:ascii="Calibri" w:hAnsi="Calibri" w:cs="Calibri"/>
          <w:color w:val="000000"/>
          <w:sz w:val="22"/>
          <w:szCs w:val="22"/>
        </w:rPr>
        <w:t xml:space="preserve">. Additionally, the protocol quantifies the relative cover of the top two native species and the top four invasive species. </w:t>
      </w:r>
      <w:r w:rsidR="000A157B">
        <w:rPr>
          <w:rFonts w:ascii="Calibri" w:hAnsi="Calibri" w:cs="Calibri"/>
          <w:color w:val="000000"/>
          <w:sz w:val="22"/>
          <w:szCs w:val="22"/>
        </w:rPr>
        <w:t xml:space="preserve">See </w:t>
      </w:r>
      <w:r w:rsidR="00D33C0A">
        <w:rPr>
          <w:rFonts w:ascii="Calibri" w:hAnsi="Calibri" w:cs="Calibri"/>
          <w:color w:val="000000"/>
          <w:sz w:val="22"/>
          <w:szCs w:val="22"/>
        </w:rPr>
        <w:t xml:space="preserve">the </w:t>
      </w:r>
      <w:r w:rsidR="005E14F5">
        <w:rPr>
          <w:rFonts w:ascii="Calibri" w:hAnsi="Calibri" w:cs="Calibri"/>
          <w:color w:val="000000"/>
          <w:sz w:val="22"/>
          <w:szCs w:val="22"/>
        </w:rPr>
        <w:t xml:space="preserve">list of common </w:t>
      </w:r>
      <w:r w:rsidR="00D33C0A">
        <w:rPr>
          <w:rFonts w:ascii="Calibri" w:hAnsi="Calibri" w:cs="Calibri"/>
          <w:color w:val="000000"/>
          <w:sz w:val="22"/>
          <w:szCs w:val="22"/>
        </w:rPr>
        <w:t xml:space="preserve">species in </w:t>
      </w:r>
      <w:r w:rsidR="00562E9F">
        <w:rPr>
          <w:rFonts w:ascii="Calibri" w:hAnsi="Calibri" w:cs="Calibri"/>
          <w:color w:val="000000"/>
          <w:sz w:val="22"/>
          <w:szCs w:val="22"/>
        </w:rPr>
        <w:t>sub-section B</w:t>
      </w:r>
      <w:r w:rsidR="000A157B">
        <w:rPr>
          <w:rFonts w:ascii="Calibri" w:hAnsi="Calibri" w:cs="Calibri"/>
          <w:color w:val="000000"/>
          <w:sz w:val="22"/>
          <w:szCs w:val="22"/>
        </w:rPr>
        <w:t xml:space="preserve">. </w:t>
      </w:r>
      <w:r w:rsidR="002D2393">
        <w:rPr>
          <w:rFonts w:ascii="Calibri" w:hAnsi="Calibri" w:cs="Calibri"/>
          <w:color w:val="000000"/>
          <w:sz w:val="22"/>
          <w:szCs w:val="22"/>
        </w:rPr>
        <w:t xml:space="preserve">Relative cover is defined as </w:t>
      </w:r>
      <w:r w:rsidR="00D33C0A">
        <w:rPr>
          <w:rFonts w:ascii="Calibri" w:hAnsi="Calibri" w:cs="Calibri"/>
          <w:color w:val="000000"/>
          <w:sz w:val="22"/>
          <w:szCs w:val="22"/>
        </w:rPr>
        <w:t xml:space="preserve">the proportion of native vegetation on site in comparison to the total vegetation cover including woody and herbaceous species. For example, all of the vegetation on site is 100%, and 50% may be invasive and 50% native, therefore, the relative cover of native species would be 50%. </w:t>
      </w:r>
    </w:p>
    <w:p w:rsidR="00E82551" w:rsidRDefault="000A157B" w:rsidP="00CB245A">
      <w:pPr>
        <w:rPr>
          <w:rFonts w:ascii="Calibri" w:hAnsi="Calibri" w:cs="Calibri"/>
          <w:color w:val="000000"/>
          <w:sz w:val="22"/>
          <w:szCs w:val="22"/>
        </w:rPr>
      </w:pPr>
      <w:r>
        <w:rPr>
          <w:rFonts w:ascii="Calibri" w:hAnsi="Calibri" w:cs="Calibri"/>
          <w:color w:val="000000"/>
          <w:sz w:val="22"/>
          <w:szCs w:val="22"/>
        </w:rPr>
        <w:t xml:space="preserve">This assessment also includes an estimate of absolute vegetation cover, </w:t>
      </w:r>
      <w:r w:rsidR="00D33C0A">
        <w:rPr>
          <w:rFonts w:ascii="Calibri" w:hAnsi="Calibri" w:cs="Calibri"/>
          <w:color w:val="000000"/>
          <w:sz w:val="22"/>
          <w:szCs w:val="22"/>
        </w:rPr>
        <w:t xml:space="preserve">which is defined as the total vertical projection area of live native and non-native vegetation on site compared to bare-ground. </w:t>
      </w:r>
      <w:r w:rsidR="00E82551">
        <w:rPr>
          <w:rFonts w:ascii="Calibri" w:hAnsi="Calibri" w:cs="Calibri"/>
          <w:color w:val="000000"/>
          <w:sz w:val="22"/>
          <w:szCs w:val="22"/>
        </w:rPr>
        <w:t xml:space="preserve">For example, a polygon may be 3 acres with 45% of the ground covered with live vegetation and the other 55% bare ground or otherwise.  </w:t>
      </w:r>
    </w:p>
    <w:p w:rsidR="00CB245A" w:rsidRPr="002D2393" w:rsidRDefault="00D33C0A" w:rsidP="00CB245A">
      <w:pPr>
        <w:rPr>
          <w:rFonts w:ascii="Calibri" w:hAnsi="Calibri" w:cs="Calibri"/>
          <w:color w:val="000000"/>
          <w:sz w:val="22"/>
          <w:szCs w:val="22"/>
        </w:rPr>
      </w:pPr>
      <w:r>
        <w:rPr>
          <w:rFonts w:ascii="Calibri" w:hAnsi="Calibri" w:cs="Calibri"/>
          <w:color w:val="000000"/>
          <w:sz w:val="22"/>
          <w:szCs w:val="22"/>
        </w:rPr>
        <w:t xml:space="preserve">Additional attributes </w:t>
      </w:r>
      <w:r w:rsidR="00E82551">
        <w:rPr>
          <w:rFonts w:ascii="Calibri" w:hAnsi="Calibri" w:cs="Calibri"/>
          <w:color w:val="000000"/>
          <w:sz w:val="22"/>
          <w:szCs w:val="22"/>
        </w:rPr>
        <w:t xml:space="preserve">that are collected in the Rapid Assessment include the year, person monitoring, acreage, land ownership, if a site has received active revegetation, presence or absence of the tamarisk beetle or weevil, notes on tamarisk and Russian olive re-sprouts, any signs of wildlife, and any relevant notes regarding site access or logistics. </w:t>
      </w:r>
    </w:p>
    <w:p w:rsidR="005E14F5" w:rsidRPr="00F017CE" w:rsidRDefault="005E14F5" w:rsidP="00F017CE">
      <w:pPr>
        <w:pStyle w:val="ListParagraph"/>
        <w:numPr>
          <w:ilvl w:val="0"/>
          <w:numId w:val="23"/>
        </w:numPr>
        <w:rPr>
          <w:rFonts w:asciiTheme="majorHAnsi" w:hAnsiTheme="majorHAnsi" w:cstheme="majorHAnsi"/>
          <w:sz w:val="28"/>
          <w:szCs w:val="28"/>
        </w:rPr>
      </w:pPr>
      <w:r w:rsidRPr="00F017CE">
        <w:rPr>
          <w:rFonts w:asciiTheme="majorHAnsi" w:hAnsiTheme="majorHAnsi" w:cstheme="majorHAnsi"/>
          <w:sz w:val="28"/>
          <w:szCs w:val="28"/>
        </w:rPr>
        <w:lastRenderedPageBreak/>
        <w:t xml:space="preserve">Procedure: </w:t>
      </w:r>
    </w:p>
    <w:p w:rsidR="00286C56" w:rsidRPr="00CB245A" w:rsidRDefault="00D3500D" w:rsidP="00CB245A">
      <w:pPr>
        <w:rPr>
          <w:rFonts w:cs="Calibri"/>
          <w:color w:val="000000"/>
          <w:sz w:val="22"/>
          <w:szCs w:val="22"/>
        </w:rPr>
      </w:pPr>
      <w:r w:rsidRPr="00CB245A">
        <w:rPr>
          <w:sz w:val="22"/>
          <w:szCs w:val="22"/>
        </w:rPr>
        <w:t xml:space="preserve">The </w:t>
      </w:r>
      <w:r w:rsidR="00E82551">
        <w:rPr>
          <w:sz w:val="22"/>
          <w:szCs w:val="22"/>
        </w:rPr>
        <w:t xml:space="preserve">two-person </w:t>
      </w:r>
      <w:r w:rsidRPr="00CB245A">
        <w:rPr>
          <w:sz w:val="22"/>
          <w:szCs w:val="22"/>
        </w:rPr>
        <w:t>monitor</w:t>
      </w:r>
      <w:r w:rsidR="00E82551">
        <w:rPr>
          <w:sz w:val="22"/>
          <w:szCs w:val="22"/>
        </w:rPr>
        <w:t>ing team</w:t>
      </w:r>
      <w:r w:rsidRPr="00CB245A">
        <w:rPr>
          <w:sz w:val="22"/>
          <w:szCs w:val="22"/>
        </w:rPr>
        <w:t xml:space="preserve"> will walk the entire </w:t>
      </w:r>
      <w:r w:rsidR="00086D78">
        <w:rPr>
          <w:sz w:val="22"/>
          <w:szCs w:val="22"/>
        </w:rPr>
        <w:t>polygon</w:t>
      </w:r>
      <w:r w:rsidRPr="00CB245A">
        <w:rPr>
          <w:sz w:val="22"/>
          <w:szCs w:val="22"/>
        </w:rPr>
        <w:t xml:space="preserve"> making ocular estimates</w:t>
      </w:r>
      <w:r w:rsidR="005734A1">
        <w:rPr>
          <w:sz w:val="22"/>
          <w:szCs w:val="22"/>
        </w:rPr>
        <w:t>,</w:t>
      </w:r>
      <w:r w:rsidRPr="00CB245A">
        <w:rPr>
          <w:sz w:val="22"/>
          <w:szCs w:val="22"/>
        </w:rPr>
        <w:t xml:space="preserve"> and before filling in the </w:t>
      </w:r>
      <w:r w:rsidR="00A73ED1">
        <w:rPr>
          <w:sz w:val="22"/>
          <w:szCs w:val="22"/>
        </w:rPr>
        <w:t xml:space="preserve">attribute </w:t>
      </w:r>
      <w:r w:rsidRPr="00CB245A">
        <w:rPr>
          <w:sz w:val="22"/>
          <w:szCs w:val="22"/>
        </w:rPr>
        <w:t>fields</w:t>
      </w:r>
      <w:r w:rsidR="00A73ED1">
        <w:rPr>
          <w:sz w:val="22"/>
          <w:szCs w:val="22"/>
        </w:rPr>
        <w:t xml:space="preserve"> (see list of attributes below)</w:t>
      </w:r>
      <w:r w:rsidRPr="00CB245A">
        <w:rPr>
          <w:sz w:val="22"/>
          <w:szCs w:val="22"/>
        </w:rPr>
        <w:t xml:space="preserve"> they will discuss their conclusions. </w:t>
      </w:r>
      <w:r w:rsidR="00A73ED1">
        <w:rPr>
          <w:sz w:val="22"/>
          <w:szCs w:val="22"/>
        </w:rPr>
        <w:t xml:space="preserve">While they are walking the site, they can conduct invasive species inventory as they come across infestations (see Invasive Species Inventory in the next section.) </w:t>
      </w:r>
      <w:r w:rsidRPr="00CB245A">
        <w:rPr>
          <w:sz w:val="22"/>
          <w:szCs w:val="22"/>
        </w:rPr>
        <w:t xml:space="preserve">Sites are predetermined by the land manager, land owner or DRC </w:t>
      </w:r>
      <w:r w:rsidR="00A73ED1">
        <w:rPr>
          <w:sz w:val="22"/>
          <w:szCs w:val="22"/>
        </w:rPr>
        <w:t xml:space="preserve">coordinator, </w:t>
      </w:r>
      <w:r w:rsidRPr="00CB245A">
        <w:rPr>
          <w:sz w:val="22"/>
          <w:szCs w:val="22"/>
        </w:rPr>
        <w:t xml:space="preserve">and are ideally less than 20 acres in size. </w:t>
      </w:r>
      <w:r w:rsidR="006E38DC" w:rsidRPr="00CB245A">
        <w:rPr>
          <w:color w:val="000000"/>
          <w:sz w:val="22"/>
          <w:szCs w:val="22"/>
        </w:rPr>
        <w:t xml:space="preserve">Data is recorded with Arc Collector or Arc Field Maps on tablets. Monitors sync data to Arc Online from the downloaded offline maps on their tablets. </w:t>
      </w:r>
    </w:p>
    <w:p w:rsidR="00F017CE" w:rsidRPr="00F017CE" w:rsidRDefault="00042CD2" w:rsidP="00F017CE">
      <w:pPr>
        <w:pStyle w:val="ListParagraph"/>
        <w:numPr>
          <w:ilvl w:val="0"/>
          <w:numId w:val="23"/>
        </w:numPr>
        <w:rPr>
          <w:rFonts w:asciiTheme="majorHAnsi" w:hAnsiTheme="majorHAnsi" w:cstheme="majorHAnsi"/>
          <w:sz w:val="28"/>
          <w:szCs w:val="28"/>
        </w:rPr>
      </w:pPr>
      <w:r w:rsidRPr="00F017CE">
        <w:rPr>
          <w:rFonts w:asciiTheme="majorHAnsi" w:hAnsiTheme="majorHAnsi" w:cstheme="majorHAnsi"/>
          <w:sz w:val="28"/>
          <w:szCs w:val="28"/>
        </w:rPr>
        <w:t>Monitor site</w:t>
      </w:r>
      <w:r w:rsidR="00B46605" w:rsidRPr="00F017CE">
        <w:rPr>
          <w:rFonts w:asciiTheme="majorHAnsi" w:hAnsiTheme="majorHAnsi" w:cstheme="majorHAnsi"/>
          <w:sz w:val="28"/>
          <w:szCs w:val="28"/>
        </w:rPr>
        <w:t xml:space="preserve"> criteria</w:t>
      </w:r>
      <w:r w:rsidR="00F017CE">
        <w:rPr>
          <w:rFonts w:asciiTheme="majorHAnsi" w:hAnsiTheme="majorHAnsi" w:cstheme="majorHAnsi"/>
          <w:sz w:val="28"/>
          <w:szCs w:val="28"/>
        </w:rPr>
        <w:t>:</w:t>
      </w:r>
    </w:p>
    <w:p w:rsidR="00042CD2" w:rsidRPr="00F017CE" w:rsidRDefault="00042CD2" w:rsidP="00286C56">
      <w:pPr>
        <w:pStyle w:val="ListParagraph"/>
        <w:numPr>
          <w:ilvl w:val="1"/>
          <w:numId w:val="9"/>
        </w:numPr>
        <w:ind w:left="720"/>
        <w:rPr>
          <w:rFonts w:cstheme="minorHAnsi"/>
          <w:sz w:val="22"/>
          <w:szCs w:val="22"/>
        </w:rPr>
      </w:pPr>
      <w:r w:rsidRPr="00F017CE">
        <w:rPr>
          <w:rFonts w:cstheme="minorHAnsi"/>
          <w:sz w:val="22"/>
          <w:szCs w:val="22"/>
        </w:rPr>
        <w:t>Actively treated;</w:t>
      </w:r>
    </w:p>
    <w:p w:rsidR="00042CD2" w:rsidRPr="00F017CE" w:rsidRDefault="00042CD2" w:rsidP="00286C56">
      <w:pPr>
        <w:pStyle w:val="ListParagraph"/>
        <w:numPr>
          <w:ilvl w:val="1"/>
          <w:numId w:val="9"/>
        </w:numPr>
        <w:ind w:left="720"/>
        <w:rPr>
          <w:rFonts w:cstheme="minorHAnsi"/>
          <w:sz w:val="22"/>
          <w:szCs w:val="22"/>
        </w:rPr>
      </w:pPr>
      <w:r w:rsidRPr="00F017CE">
        <w:rPr>
          <w:rFonts w:cstheme="minorHAnsi"/>
          <w:sz w:val="22"/>
          <w:szCs w:val="22"/>
        </w:rPr>
        <w:t>Active treatments are scheduled;</w:t>
      </w:r>
    </w:p>
    <w:p w:rsidR="00042CD2" w:rsidRDefault="00042CD2" w:rsidP="00286C56">
      <w:pPr>
        <w:pStyle w:val="ListParagraph"/>
        <w:numPr>
          <w:ilvl w:val="1"/>
          <w:numId w:val="9"/>
        </w:numPr>
        <w:ind w:left="720"/>
      </w:pPr>
      <w:r w:rsidRPr="00F017CE">
        <w:rPr>
          <w:rFonts w:cstheme="minorHAnsi"/>
          <w:sz w:val="22"/>
          <w:szCs w:val="22"/>
        </w:rPr>
        <w:t xml:space="preserve">Special sites </w:t>
      </w:r>
      <w:r>
        <w:t>via land manager request.</w:t>
      </w:r>
    </w:p>
    <w:p w:rsidR="00042CD2" w:rsidRDefault="00042CD2" w:rsidP="00042CD2">
      <w:pPr>
        <w:pStyle w:val="ListParagraph"/>
        <w:numPr>
          <w:ilvl w:val="0"/>
          <w:numId w:val="3"/>
        </w:numPr>
      </w:pPr>
      <w:r>
        <w:t>Attributes:</w:t>
      </w:r>
    </w:p>
    <w:p w:rsidR="00042CD2" w:rsidRDefault="00F017CE" w:rsidP="00042CD2">
      <w:pPr>
        <w:pStyle w:val="ListParagraph"/>
        <w:numPr>
          <w:ilvl w:val="1"/>
          <w:numId w:val="3"/>
        </w:numPr>
      </w:pPr>
      <w:r>
        <w:t>DRC S</w:t>
      </w:r>
      <w:r w:rsidR="00042CD2">
        <w:t>ite ID</w:t>
      </w:r>
      <w:r>
        <w:t xml:space="preserve"> and Polygon ID</w:t>
      </w:r>
    </w:p>
    <w:p w:rsidR="00042CD2" w:rsidRDefault="00042CD2" w:rsidP="00042CD2">
      <w:pPr>
        <w:pStyle w:val="ListParagraph"/>
        <w:numPr>
          <w:ilvl w:val="1"/>
          <w:numId w:val="3"/>
        </w:numPr>
      </w:pPr>
      <w:r>
        <w:t xml:space="preserve">Relative native cover </w:t>
      </w:r>
      <w:r w:rsidR="00E256C7">
        <w:t xml:space="preserve">- </w:t>
      </w:r>
      <w:r>
        <w:t>pre-determined intervals, e.g., 25%</w:t>
      </w:r>
    </w:p>
    <w:p w:rsidR="00042CD2" w:rsidRDefault="00042CD2" w:rsidP="00042CD2">
      <w:pPr>
        <w:pStyle w:val="ListParagraph"/>
        <w:numPr>
          <w:ilvl w:val="1"/>
          <w:numId w:val="3"/>
        </w:numPr>
      </w:pPr>
      <w:r>
        <w:t>Top 2 native species</w:t>
      </w:r>
      <w:r w:rsidR="00E256C7">
        <w:t xml:space="preserve"> (drop-down menu)</w:t>
      </w:r>
    </w:p>
    <w:p w:rsidR="00042CD2" w:rsidRDefault="00B46605" w:rsidP="00042CD2">
      <w:pPr>
        <w:pStyle w:val="ListParagraph"/>
        <w:numPr>
          <w:ilvl w:val="1"/>
          <w:numId w:val="3"/>
        </w:numPr>
      </w:pPr>
      <w:r>
        <w:t xml:space="preserve">Top </w:t>
      </w:r>
      <w:r w:rsidR="00F017CE">
        <w:t>4</w:t>
      </w:r>
      <w:r>
        <w:t xml:space="preserve"> invasive species </w:t>
      </w:r>
      <w:r w:rsidR="007B1651">
        <w:t>(drop down menu)</w:t>
      </w:r>
    </w:p>
    <w:p w:rsidR="00B46605" w:rsidRDefault="00B46605" w:rsidP="00042CD2">
      <w:pPr>
        <w:pStyle w:val="ListParagraph"/>
        <w:numPr>
          <w:ilvl w:val="1"/>
          <w:numId w:val="3"/>
        </w:numPr>
      </w:pPr>
      <w:r>
        <w:t>Relativ</w:t>
      </w:r>
      <w:r w:rsidR="00283AEF">
        <w:t>e</w:t>
      </w:r>
      <w:r>
        <w:t xml:space="preserve"> cover of </w:t>
      </w:r>
      <w:r w:rsidR="002F1944">
        <w:t>top 4</w:t>
      </w:r>
      <w:r>
        <w:t xml:space="preserve"> invasive species (pre-determined intervals, e.g., 25%)</w:t>
      </w:r>
    </w:p>
    <w:p w:rsidR="00F017CE" w:rsidRDefault="00B46605" w:rsidP="00042CD2">
      <w:pPr>
        <w:pStyle w:val="ListParagraph"/>
        <w:numPr>
          <w:ilvl w:val="1"/>
          <w:numId w:val="3"/>
        </w:numPr>
      </w:pPr>
      <w:r>
        <w:t>Evidence of natural recruitment</w:t>
      </w:r>
      <w:r w:rsidR="007B1651">
        <w:t xml:space="preserve"> (Y/N) – (associated with the passive recruitment criteria</w:t>
      </w:r>
      <w:r w:rsidR="00F017CE">
        <w:t xml:space="preserve"> in section IV</w:t>
      </w:r>
      <w:r w:rsidR="007B1651">
        <w:t>)</w:t>
      </w:r>
    </w:p>
    <w:p w:rsidR="001B4177" w:rsidRDefault="001B4177" w:rsidP="00042CD2">
      <w:pPr>
        <w:pStyle w:val="ListParagraph"/>
        <w:numPr>
          <w:ilvl w:val="1"/>
          <w:numId w:val="3"/>
        </w:numPr>
      </w:pPr>
      <w:proofErr w:type="spellStart"/>
      <w:r>
        <w:t>Absolute_Vegetation_Cover</w:t>
      </w:r>
      <w:proofErr w:type="spellEnd"/>
    </w:p>
    <w:p w:rsidR="00F017CE" w:rsidRDefault="00F017CE" w:rsidP="00042CD2">
      <w:pPr>
        <w:pStyle w:val="ListParagraph"/>
        <w:numPr>
          <w:ilvl w:val="1"/>
          <w:numId w:val="3"/>
        </w:numPr>
      </w:pPr>
      <w:r>
        <w:t>Year</w:t>
      </w:r>
    </w:p>
    <w:p w:rsidR="00F017CE" w:rsidRDefault="00F017CE" w:rsidP="00042CD2">
      <w:pPr>
        <w:pStyle w:val="ListParagraph"/>
        <w:numPr>
          <w:ilvl w:val="1"/>
          <w:numId w:val="3"/>
        </w:numPr>
      </w:pPr>
      <w:r>
        <w:t xml:space="preserve">Acreage </w:t>
      </w:r>
    </w:p>
    <w:p w:rsidR="00F017CE" w:rsidRDefault="00F017CE" w:rsidP="00042CD2">
      <w:pPr>
        <w:pStyle w:val="ListParagraph"/>
        <w:numPr>
          <w:ilvl w:val="1"/>
          <w:numId w:val="3"/>
        </w:numPr>
      </w:pPr>
      <w:r>
        <w:t>Land Owner</w:t>
      </w:r>
    </w:p>
    <w:p w:rsidR="007B1651" w:rsidRDefault="007B1651" w:rsidP="00042CD2">
      <w:pPr>
        <w:pStyle w:val="ListParagraph"/>
        <w:numPr>
          <w:ilvl w:val="1"/>
          <w:numId w:val="3"/>
        </w:numPr>
      </w:pPr>
      <w:r>
        <w:t xml:space="preserve">Tamarisk beetle </w:t>
      </w:r>
    </w:p>
    <w:p w:rsidR="00F017CE" w:rsidRDefault="00F017CE" w:rsidP="00042CD2">
      <w:pPr>
        <w:pStyle w:val="ListParagraph"/>
        <w:numPr>
          <w:ilvl w:val="1"/>
          <w:numId w:val="3"/>
        </w:numPr>
      </w:pPr>
      <w:r>
        <w:t xml:space="preserve">Tamarisk weevil </w:t>
      </w:r>
    </w:p>
    <w:p w:rsidR="00F017CE" w:rsidRDefault="00F017CE" w:rsidP="00042CD2">
      <w:pPr>
        <w:pStyle w:val="ListParagraph"/>
        <w:numPr>
          <w:ilvl w:val="1"/>
          <w:numId w:val="3"/>
        </w:numPr>
      </w:pPr>
      <w:r>
        <w:t>TRO re-sprout notes</w:t>
      </w:r>
    </w:p>
    <w:p w:rsidR="00F017CE" w:rsidRDefault="00F017CE" w:rsidP="00F017CE">
      <w:pPr>
        <w:pStyle w:val="ListParagraph"/>
        <w:numPr>
          <w:ilvl w:val="1"/>
          <w:numId w:val="3"/>
        </w:numPr>
      </w:pPr>
      <w:r>
        <w:t xml:space="preserve">Wildlife presence (e.g., bear scat, bird sighting, rookery): notes </w:t>
      </w:r>
    </w:p>
    <w:p w:rsidR="00F017CE" w:rsidRDefault="00F017CE" w:rsidP="00F017CE">
      <w:pPr>
        <w:pStyle w:val="ListParagraph"/>
        <w:numPr>
          <w:ilvl w:val="1"/>
          <w:numId w:val="3"/>
        </w:numPr>
      </w:pPr>
      <w:r>
        <w:t>Logistics/access notes</w:t>
      </w:r>
    </w:p>
    <w:p w:rsidR="00F017CE" w:rsidRPr="00A73ED1" w:rsidRDefault="00F017CE" w:rsidP="00F017CE">
      <w:pPr>
        <w:pStyle w:val="ListParagraph"/>
        <w:numPr>
          <w:ilvl w:val="1"/>
          <w:numId w:val="3"/>
        </w:numPr>
      </w:pPr>
      <w:r w:rsidRPr="00A73ED1">
        <w:t xml:space="preserve">Presence of cottonwood gallery (1 - none, </w:t>
      </w:r>
      <w:r w:rsidR="002F1944">
        <w:t xml:space="preserve">2- a few scattered trees, </w:t>
      </w:r>
      <w:r w:rsidRPr="00A73ED1">
        <w:t>3 – seven to ten trees over 1</w:t>
      </w:r>
      <w:r w:rsidR="002F1944">
        <w:t>2</w:t>
      </w:r>
      <w:r w:rsidRPr="00A73ED1">
        <w:t xml:space="preserve"> ft., </w:t>
      </w:r>
      <w:r w:rsidR="002F1944">
        <w:t xml:space="preserve">4- 10-15 trees with diverse age classes, </w:t>
      </w:r>
      <w:r w:rsidRPr="00A73ED1">
        <w:t xml:space="preserve">5 - large gallery over </w:t>
      </w:r>
      <w:r w:rsidR="002F1944">
        <w:t>15</w:t>
      </w:r>
      <w:r w:rsidRPr="00A73ED1">
        <w:t xml:space="preserve"> mature trees with varied age classes)</w:t>
      </w:r>
    </w:p>
    <w:p w:rsidR="00F017CE" w:rsidRDefault="00F017CE" w:rsidP="00F017CE">
      <w:pPr>
        <w:pStyle w:val="ListParagraph"/>
        <w:numPr>
          <w:ilvl w:val="1"/>
          <w:numId w:val="3"/>
        </w:numPr>
      </w:pPr>
      <w:r w:rsidRPr="00A73ED1">
        <w:t>Has there been active revegetation at this site? Y/N</w:t>
      </w:r>
    </w:p>
    <w:p w:rsidR="00B46605" w:rsidRDefault="00B46605" w:rsidP="00042CD2">
      <w:pPr>
        <w:pStyle w:val="ListParagraph"/>
        <w:numPr>
          <w:ilvl w:val="1"/>
          <w:numId w:val="3"/>
        </w:numPr>
      </w:pPr>
      <w:r>
        <w:t>Notes</w:t>
      </w:r>
    </w:p>
    <w:p w:rsidR="00B46605" w:rsidRDefault="00B46605" w:rsidP="00042CD2">
      <w:pPr>
        <w:pStyle w:val="ListParagraph"/>
        <w:numPr>
          <w:ilvl w:val="1"/>
          <w:numId w:val="3"/>
        </w:numPr>
      </w:pPr>
      <w:r>
        <w:t>Who monitored</w:t>
      </w:r>
    </w:p>
    <w:p w:rsidR="00B46605" w:rsidRDefault="00B46605" w:rsidP="00042CD2">
      <w:pPr>
        <w:pStyle w:val="ListParagraph"/>
        <w:numPr>
          <w:ilvl w:val="1"/>
          <w:numId w:val="3"/>
        </w:numPr>
      </w:pPr>
      <w:r>
        <w:t>Date</w:t>
      </w:r>
    </w:p>
    <w:p w:rsidR="00E256C7" w:rsidRDefault="00E256C7" w:rsidP="00E256C7">
      <w:r>
        <w:lastRenderedPageBreak/>
        <w:t xml:space="preserve">List of </w:t>
      </w:r>
      <w:r w:rsidR="00B17672">
        <w:t xml:space="preserve">common </w:t>
      </w:r>
      <w:r>
        <w:t>native species:</w:t>
      </w:r>
    </w:p>
    <w:p w:rsidR="00E256C7" w:rsidRPr="004A5AA7" w:rsidRDefault="004A5AA7" w:rsidP="00E256C7">
      <w:pPr>
        <w:pStyle w:val="ListParagraph"/>
        <w:numPr>
          <w:ilvl w:val="0"/>
          <w:numId w:val="7"/>
        </w:numPr>
      </w:pPr>
      <w:r>
        <w:t xml:space="preserve">Fremont </w:t>
      </w:r>
      <w:r w:rsidR="00E256C7">
        <w:t>Cottonwood</w:t>
      </w:r>
      <w:r>
        <w:t xml:space="preserve"> – </w:t>
      </w:r>
      <w:proofErr w:type="spellStart"/>
      <w:r>
        <w:rPr>
          <w:i/>
        </w:rPr>
        <w:t>Populus</w:t>
      </w:r>
      <w:proofErr w:type="spellEnd"/>
      <w:r>
        <w:rPr>
          <w:i/>
        </w:rPr>
        <w:t xml:space="preserve"> </w:t>
      </w:r>
      <w:proofErr w:type="spellStart"/>
      <w:r>
        <w:rPr>
          <w:i/>
        </w:rPr>
        <w:t>fremontii</w:t>
      </w:r>
      <w:proofErr w:type="spellEnd"/>
    </w:p>
    <w:p w:rsidR="004A5AA7" w:rsidRDefault="004A5AA7" w:rsidP="00E256C7">
      <w:pPr>
        <w:pStyle w:val="ListParagraph"/>
        <w:numPr>
          <w:ilvl w:val="0"/>
          <w:numId w:val="7"/>
        </w:numPr>
      </w:pPr>
      <w:r>
        <w:t xml:space="preserve">Narrowleaf cottonwood – </w:t>
      </w:r>
      <w:proofErr w:type="spellStart"/>
      <w:r>
        <w:rPr>
          <w:i/>
        </w:rPr>
        <w:t>Populus</w:t>
      </w:r>
      <w:proofErr w:type="spellEnd"/>
      <w:r>
        <w:rPr>
          <w:i/>
        </w:rPr>
        <w:t xml:space="preserve"> angustifolia</w:t>
      </w:r>
    </w:p>
    <w:p w:rsidR="00E256C7" w:rsidRDefault="004A5AA7" w:rsidP="00E256C7">
      <w:pPr>
        <w:pStyle w:val="ListParagraph"/>
        <w:numPr>
          <w:ilvl w:val="0"/>
          <w:numId w:val="7"/>
        </w:numPr>
      </w:pPr>
      <w:r>
        <w:t>Coyote w</w:t>
      </w:r>
      <w:r w:rsidR="00E256C7">
        <w:t>illow</w:t>
      </w:r>
      <w:r>
        <w:t xml:space="preserve"> – </w:t>
      </w:r>
      <w:r>
        <w:rPr>
          <w:i/>
        </w:rPr>
        <w:t xml:space="preserve">Salix </w:t>
      </w:r>
      <w:proofErr w:type="spellStart"/>
      <w:r>
        <w:rPr>
          <w:i/>
        </w:rPr>
        <w:t>exigua</w:t>
      </w:r>
      <w:proofErr w:type="spellEnd"/>
    </w:p>
    <w:p w:rsidR="00E256C7" w:rsidRDefault="00E256C7" w:rsidP="00E256C7">
      <w:pPr>
        <w:pStyle w:val="ListParagraph"/>
        <w:numPr>
          <w:ilvl w:val="0"/>
          <w:numId w:val="7"/>
        </w:numPr>
      </w:pPr>
      <w:r>
        <w:t>3-leaf sumac</w:t>
      </w:r>
      <w:r w:rsidR="004A5AA7">
        <w:t xml:space="preserve"> – </w:t>
      </w:r>
      <w:proofErr w:type="spellStart"/>
      <w:r w:rsidR="004A5AA7">
        <w:rPr>
          <w:i/>
        </w:rPr>
        <w:t>Rhus</w:t>
      </w:r>
      <w:proofErr w:type="spellEnd"/>
      <w:r w:rsidR="004A5AA7">
        <w:rPr>
          <w:i/>
        </w:rPr>
        <w:t xml:space="preserve"> </w:t>
      </w:r>
      <w:proofErr w:type="spellStart"/>
      <w:r w:rsidR="004A5AA7">
        <w:rPr>
          <w:i/>
        </w:rPr>
        <w:t>trilobata</w:t>
      </w:r>
      <w:proofErr w:type="spellEnd"/>
      <w:r w:rsidR="004A5AA7">
        <w:rPr>
          <w:i/>
        </w:rPr>
        <w:t xml:space="preserve"> </w:t>
      </w:r>
    </w:p>
    <w:p w:rsidR="00E256C7" w:rsidRDefault="00E256C7" w:rsidP="00E256C7">
      <w:pPr>
        <w:pStyle w:val="ListParagraph"/>
        <w:numPr>
          <w:ilvl w:val="0"/>
          <w:numId w:val="7"/>
        </w:numPr>
      </w:pPr>
      <w:r>
        <w:t>New Mexico privet</w:t>
      </w:r>
      <w:r w:rsidR="004A5AA7">
        <w:t xml:space="preserve"> – </w:t>
      </w:r>
      <w:proofErr w:type="spellStart"/>
      <w:r w:rsidR="004A5AA7">
        <w:rPr>
          <w:i/>
        </w:rPr>
        <w:t>Forestiera</w:t>
      </w:r>
      <w:proofErr w:type="spellEnd"/>
      <w:r w:rsidR="004A5AA7">
        <w:rPr>
          <w:i/>
        </w:rPr>
        <w:t xml:space="preserve"> </w:t>
      </w:r>
      <w:proofErr w:type="spellStart"/>
      <w:r w:rsidR="004A5AA7">
        <w:rPr>
          <w:i/>
        </w:rPr>
        <w:t>pubescens</w:t>
      </w:r>
      <w:proofErr w:type="spellEnd"/>
    </w:p>
    <w:p w:rsidR="00E256C7" w:rsidRDefault="00E256C7" w:rsidP="00E256C7">
      <w:pPr>
        <w:pStyle w:val="ListParagraph"/>
        <w:numPr>
          <w:ilvl w:val="0"/>
          <w:numId w:val="7"/>
        </w:numPr>
      </w:pPr>
      <w:r>
        <w:t>Rabbitbrush</w:t>
      </w:r>
      <w:r w:rsidR="004A5AA7">
        <w:t xml:space="preserve"> - </w:t>
      </w:r>
      <w:proofErr w:type="spellStart"/>
      <w:r w:rsidR="004A5AA7">
        <w:rPr>
          <w:i/>
        </w:rPr>
        <w:t>Chrysothamnus</w:t>
      </w:r>
      <w:proofErr w:type="spellEnd"/>
    </w:p>
    <w:p w:rsidR="00E256C7" w:rsidRPr="002F1944" w:rsidRDefault="00E256C7" w:rsidP="00E256C7">
      <w:pPr>
        <w:pStyle w:val="ListParagraph"/>
        <w:numPr>
          <w:ilvl w:val="0"/>
          <w:numId w:val="7"/>
        </w:numPr>
      </w:pPr>
      <w:r>
        <w:t>Sagebrush</w:t>
      </w:r>
      <w:r w:rsidR="004A5AA7">
        <w:t xml:space="preserve"> – </w:t>
      </w:r>
      <w:r w:rsidR="004A5AA7">
        <w:rPr>
          <w:i/>
        </w:rPr>
        <w:t xml:space="preserve">Artemisia </w:t>
      </w:r>
      <w:r w:rsidR="002F1944">
        <w:rPr>
          <w:i/>
        </w:rPr>
        <w:t>tridentate</w:t>
      </w:r>
    </w:p>
    <w:p w:rsidR="002F1944" w:rsidRDefault="002F1944" w:rsidP="00E256C7">
      <w:pPr>
        <w:pStyle w:val="ListParagraph"/>
        <w:numPr>
          <w:ilvl w:val="0"/>
          <w:numId w:val="7"/>
        </w:numPr>
      </w:pPr>
      <w:r>
        <w:t xml:space="preserve">Greasewood – </w:t>
      </w:r>
      <w:proofErr w:type="spellStart"/>
      <w:r>
        <w:rPr>
          <w:i/>
        </w:rPr>
        <w:t>Sarcobatus</w:t>
      </w:r>
      <w:proofErr w:type="spellEnd"/>
      <w:r>
        <w:rPr>
          <w:i/>
        </w:rPr>
        <w:t xml:space="preserve"> </w:t>
      </w:r>
    </w:p>
    <w:p w:rsidR="00286C56" w:rsidRDefault="004A5AA7" w:rsidP="00283AEF">
      <w:pPr>
        <w:pStyle w:val="ListParagraph"/>
        <w:numPr>
          <w:ilvl w:val="0"/>
          <w:numId w:val="7"/>
        </w:numPr>
      </w:pPr>
      <w:r>
        <w:t xml:space="preserve">Common reed – </w:t>
      </w:r>
      <w:r>
        <w:rPr>
          <w:i/>
        </w:rPr>
        <w:t xml:space="preserve">Phragmites </w:t>
      </w:r>
      <w:proofErr w:type="spellStart"/>
      <w:r>
        <w:rPr>
          <w:i/>
        </w:rPr>
        <w:t>australis</w:t>
      </w:r>
      <w:proofErr w:type="spellEnd"/>
    </w:p>
    <w:p w:rsidR="00283AEF" w:rsidRDefault="00283AEF" w:rsidP="00283AEF">
      <w:pPr>
        <w:pStyle w:val="ListParagraph"/>
        <w:numPr>
          <w:ilvl w:val="0"/>
          <w:numId w:val="7"/>
        </w:numPr>
      </w:pPr>
      <w:r>
        <w:t>Silver buffaloberry</w:t>
      </w:r>
      <w:r w:rsidR="004A5AA7">
        <w:t xml:space="preserve"> – </w:t>
      </w:r>
      <w:proofErr w:type="spellStart"/>
      <w:r w:rsidR="004A5AA7">
        <w:rPr>
          <w:i/>
        </w:rPr>
        <w:t>Shepherdia</w:t>
      </w:r>
      <w:proofErr w:type="spellEnd"/>
      <w:r w:rsidR="004A5AA7">
        <w:rPr>
          <w:i/>
        </w:rPr>
        <w:t xml:space="preserve"> </w:t>
      </w:r>
      <w:proofErr w:type="spellStart"/>
      <w:r w:rsidR="004A5AA7">
        <w:rPr>
          <w:i/>
        </w:rPr>
        <w:t>argentea</w:t>
      </w:r>
      <w:proofErr w:type="spellEnd"/>
    </w:p>
    <w:p w:rsidR="00283AEF" w:rsidRDefault="00283AEF" w:rsidP="00283AEF">
      <w:pPr>
        <w:pStyle w:val="ListParagraph"/>
        <w:numPr>
          <w:ilvl w:val="0"/>
          <w:numId w:val="7"/>
        </w:numPr>
      </w:pPr>
      <w:r>
        <w:t>Woods rose</w:t>
      </w:r>
      <w:r w:rsidR="004A5AA7">
        <w:t xml:space="preserve"> - </w:t>
      </w:r>
      <w:r w:rsidR="004A5AA7">
        <w:rPr>
          <w:i/>
        </w:rPr>
        <w:t xml:space="preserve">Rosa </w:t>
      </w:r>
      <w:proofErr w:type="spellStart"/>
      <w:r w:rsidR="004A5AA7">
        <w:rPr>
          <w:i/>
        </w:rPr>
        <w:t>woodsii</w:t>
      </w:r>
      <w:proofErr w:type="spellEnd"/>
    </w:p>
    <w:p w:rsidR="00283AEF" w:rsidRDefault="00AF2A3A" w:rsidP="00283AEF">
      <w:pPr>
        <w:pStyle w:val="ListParagraph"/>
        <w:numPr>
          <w:ilvl w:val="0"/>
          <w:numId w:val="7"/>
        </w:numPr>
      </w:pPr>
      <w:r>
        <w:t>Salt grass</w:t>
      </w:r>
      <w:r w:rsidR="004A5AA7">
        <w:t xml:space="preserve"> – </w:t>
      </w:r>
      <w:proofErr w:type="spellStart"/>
      <w:r w:rsidR="004A5AA7">
        <w:rPr>
          <w:i/>
        </w:rPr>
        <w:t>Distichlis</w:t>
      </w:r>
      <w:proofErr w:type="spellEnd"/>
      <w:r w:rsidR="004A5AA7">
        <w:rPr>
          <w:i/>
        </w:rPr>
        <w:t xml:space="preserve"> spicata</w:t>
      </w:r>
    </w:p>
    <w:p w:rsidR="00AF2A3A" w:rsidRDefault="00AF2A3A" w:rsidP="00283AEF">
      <w:pPr>
        <w:pStyle w:val="ListParagraph"/>
        <w:numPr>
          <w:ilvl w:val="0"/>
          <w:numId w:val="7"/>
        </w:numPr>
      </w:pPr>
      <w:r>
        <w:t>Alkali sacaton</w:t>
      </w:r>
      <w:r w:rsidR="004A5AA7">
        <w:t xml:space="preserve"> </w:t>
      </w:r>
      <w:r w:rsidR="00086D78">
        <w:t>–</w:t>
      </w:r>
      <w:r w:rsidR="004A5AA7">
        <w:t xml:space="preserve"> </w:t>
      </w:r>
      <w:proofErr w:type="spellStart"/>
      <w:r w:rsidR="004A5AA7">
        <w:rPr>
          <w:i/>
        </w:rPr>
        <w:t>Sporoblus</w:t>
      </w:r>
      <w:proofErr w:type="spellEnd"/>
      <w:r w:rsidR="00086D78">
        <w:rPr>
          <w:i/>
        </w:rPr>
        <w:t xml:space="preserve"> </w:t>
      </w:r>
      <w:proofErr w:type="spellStart"/>
      <w:r w:rsidR="00086D78">
        <w:rPr>
          <w:i/>
        </w:rPr>
        <w:t>airoides</w:t>
      </w:r>
      <w:proofErr w:type="spellEnd"/>
    </w:p>
    <w:p w:rsidR="00AF2A3A" w:rsidRPr="00086D78" w:rsidRDefault="00AF2A3A" w:rsidP="00283AEF">
      <w:pPr>
        <w:pStyle w:val="ListParagraph"/>
        <w:numPr>
          <w:ilvl w:val="0"/>
          <w:numId w:val="7"/>
        </w:numPr>
      </w:pPr>
      <w:r>
        <w:t xml:space="preserve">Sand </w:t>
      </w:r>
      <w:proofErr w:type="spellStart"/>
      <w:r>
        <w:t>dropseed</w:t>
      </w:r>
      <w:proofErr w:type="spellEnd"/>
      <w:r w:rsidR="00086D78">
        <w:t xml:space="preserve"> – </w:t>
      </w:r>
      <w:proofErr w:type="spellStart"/>
      <w:r w:rsidR="00086D78">
        <w:rPr>
          <w:i/>
        </w:rPr>
        <w:t>Sporobolus</w:t>
      </w:r>
      <w:proofErr w:type="spellEnd"/>
      <w:r w:rsidR="00086D78">
        <w:rPr>
          <w:i/>
        </w:rPr>
        <w:t xml:space="preserve"> </w:t>
      </w:r>
      <w:proofErr w:type="spellStart"/>
      <w:r w:rsidR="00086D78">
        <w:rPr>
          <w:i/>
        </w:rPr>
        <w:t>cryptandrus</w:t>
      </w:r>
      <w:proofErr w:type="spellEnd"/>
    </w:p>
    <w:p w:rsidR="00086D78" w:rsidRPr="00283AEF" w:rsidRDefault="00086D78" w:rsidP="00283AEF">
      <w:pPr>
        <w:pStyle w:val="ListParagraph"/>
        <w:numPr>
          <w:ilvl w:val="0"/>
          <w:numId w:val="7"/>
        </w:numPr>
      </w:pPr>
      <w:r>
        <w:t>Other – please list in notes</w:t>
      </w:r>
    </w:p>
    <w:p w:rsidR="00E256C7" w:rsidRDefault="00E256C7" w:rsidP="00E256C7">
      <w:r>
        <w:t>List of common invasive:</w:t>
      </w:r>
    </w:p>
    <w:p w:rsidR="00E256C7" w:rsidRDefault="00E256C7" w:rsidP="00E256C7">
      <w:pPr>
        <w:pStyle w:val="ListParagraph"/>
        <w:numPr>
          <w:ilvl w:val="0"/>
          <w:numId w:val="8"/>
        </w:numPr>
      </w:pPr>
      <w:r>
        <w:t>Tamarisk</w:t>
      </w:r>
      <w:r w:rsidR="00086D78">
        <w:t xml:space="preserve"> - </w:t>
      </w:r>
      <w:proofErr w:type="spellStart"/>
      <w:r w:rsidR="00086D78">
        <w:rPr>
          <w:i/>
        </w:rPr>
        <w:t>tamarix</w:t>
      </w:r>
      <w:proofErr w:type="spellEnd"/>
    </w:p>
    <w:p w:rsidR="00283AEF" w:rsidRDefault="00283AEF" w:rsidP="00E256C7">
      <w:pPr>
        <w:pStyle w:val="ListParagraph"/>
        <w:numPr>
          <w:ilvl w:val="0"/>
          <w:numId w:val="8"/>
        </w:numPr>
      </w:pPr>
      <w:r>
        <w:t>Hoary cress</w:t>
      </w:r>
      <w:r w:rsidR="00086D78">
        <w:t xml:space="preserve"> – </w:t>
      </w:r>
      <w:r w:rsidR="00086D78">
        <w:rPr>
          <w:i/>
        </w:rPr>
        <w:t xml:space="preserve">Lepidium </w:t>
      </w:r>
      <w:proofErr w:type="spellStart"/>
      <w:r w:rsidR="00086D78">
        <w:rPr>
          <w:i/>
        </w:rPr>
        <w:t>draba</w:t>
      </w:r>
      <w:proofErr w:type="spellEnd"/>
    </w:p>
    <w:p w:rsidR="00E256C7" w:rsidRDefault="00E256C7" w:rsidP="00E256C7">
      <w:pPr>
        <w:pStyle w:val="ListParagraph"/>
        <w:numPr>
          <w:ilvl w:val="0"/>
          <w:numId w:val="8"/>
        </w:numPr>
      </w:pPr>
      <w:r>
        <w:t>Russian olive</w:t>
      </w:r>
      <w:r w:rsidR="00086D78">
        <w:t xml:space="preserve"> – </w:t>
      </w:r>
      <w:proofErr w:type="spellStart"/>
      <w:r w:rsidR="00086D78">
        <w:rPr>
          <w:i/>
        </w:rPr>
        <w:t>Elanagnus</w:t>
      </w:r>
      <w:proofErr w:type="spellEnd"/>
      <w:r w:rsidR="00086D78">
        <w:rPr>
          <w:i/>
        </w:rPr>
        <w:t xml:space="preserve"> angustifolia </w:t>
      </w:r>
    </w:p>
    <w:p w:rsidR="00E256C7" w:rsidRDefault="00E256C7" w:rsidP="00E256C7">
      <w:pPr>
        <w:pStyle w:val="ListParagraph"/>
        <w:numPr>
          <w:ilvl w:val="0"/>
          <w:numId w:val="8"/>
        </w:numPr>
      </w:pPr>
      <w:r>
        <w:t xml:space="preserve">Siberian elm </w:t>
      </w:r>
      <w:r w:rsidR="00086D78">
        <w:t xml:space="preserve">– </w:t>
      </w:r>
      <w:proofErr w:type="spellStart"/>
      <w:r w:rsidR="00086D78">
        <w:rPr>
          <w:i/>
        </w:rPr>
        <w:t>Ulmus</w:t>
      </w:r>
      <w:proofErr w:type="spellEnd"/>
      <w:r w:rsidR="00086D78">
        <w:rPr>
          <w:i/>
        </w:rPr>
        <w:t xml:space="preserve"> </w:t>
      </w:r>
      <w:proofErr w:type="spellStart"/>
      <w:r w:rsidR="00086D78">
        <w:rPr>
          <w:i/>
        </w:rPr>
        <w:t>pumila</w:t>
      </w:r>
      <w:proofErr w:type="spellEnd"/>
    </w:p>
    <w:p w:rsidR="00E256C7" w:rsidRDefault="00E256C7" w:rsidP="00E256C7">
      <w:pPr>
        <w:pStyle w:val="ListParagraph"/>
        <w:numPr>
          <w:ilvl w:val="0"/>
          <w:numId w:val="8"/>
        </w:numPr>
      </w:pPr>
      <w:r>
        <w:t>Russian knapweed</w:t>
      </w:r>
      <w:r w:rsidR="00086D78">
        <w:t xml:space="preserve"> – </w:t>
      </w:r>
      <w:proofErr w:type="spellStart"/>
      <w:r w:rsidR="00086D78">
        <w:rPr>
          <w:i/>
        </w:rPr>
        <w:t>Rhaponticum</w:t>
      </w:r>
      <w:proofErr w:type="spellEnd"/>
      <w:r w:rsidR="00086D78">
        <w:rPr>
          <w:i/>
        </w:rPr>
        <w:t xml:space="preserve"> </w:t>
      </w:r>
      <w:proofErr w:type="spellStart"/>
      <w:r w:rsidR="00086D78">
        <w:rPr>
          <w:i/>
        </w:rPr>
        <w:t>repens</w:t>
      </w:r>
      <w:proofErr w:type="spellEnd"/>
      <w:r w:rsidR="00086D78">
        <w:rPr>
          <w:i/>
        </w:rPr>
        <w:t xml:space="preserve"> </w:t>
      </w:r>
    </w:p>
    <w:p w:rsidR="009A0BC7" w:rsidRPr="009A0BC7" w:rsidRDefault="00E256C7" w:rsidP="009A0BC7">
      <w:pPr>
        <w:pStyle w:val="ListParagraph"/>
        <w:numPr>
          <w:ilvl w:val="0"/>
          <w:numId w:val="8"/>
        </w:numPr>
      </w:pPr>
      <w:r>
        <w:t>Kochia</w:t>
      </w:r>
      <w:r w:rsidR="00086D78">
        <w:t xml:space="preserve"> – </w:t>
      </w:r>
      <w:proofErr w:type="spellStart"/>
      <w:r w:rsidR="00086D78">
        <w:rPr>
          <w:i/>
        </w:rPr>
        <w:t>Bassia</w:t>
      </w:r>
      <w:proofErr w:type="spellEnd"/>
      <w:r w:rsidR="00086D78">
        <w:rPr>
          <w:i/>
        </w:rPr>
        <w:t xml:space="preserve"> </w:t>
      </w:r>
      <w:proofErr w:type="spellStart"/>
      <w:r w:rsidR="00086D78">
        <w:rPr>
          <w:i/>
        </w:rPr>
        <w:t>scoparia</w:t>
      </w:r>
      <w:proofErr w:type="spellEnd"/>
    </w:p>
    <w:p w:rsidR="009A0BC7" w:rsidRPr="009D1ECF" w:rsidRDefault="009A0BC7" w:rsidP="009A0BC7">
      <w:pPr>
        <w:pStyle w:val="ListParagraph"/>
        <w:numPr>
          <w:ilvl w:val="0"/>
          <w:numId w:val="8"/>
        </w:numPr>
      </w:pPr>
      <w:r w:rsidRPr="009A0BC7">
        <w:rPr>
          <w:rFonts w:cstheme="minorHAnsi"/>
          <w:sz w:val="22"/>
          <w:szCs w:val="22"/>
        </w:rPr>
        <w:t xml:space="preserve">Tree of Heaven - </w:t>
      </w:r>
      <w:r w:rsidRPr="009D1ECF">
        <w:rPr>
          <w:rFonts w:eastAsia="Times New Roman" w:cstheme="minorHAnsi"/>
          <w:i/>
          <w:color w:val="222222"/>
          <w:sz w:val="22"/>
          <w:szCs w:val="22"/>
        </w:rPr>
        <w:t xml:space="preserve">Ailanthus </w:t>
      </w:r>
      <w:proofErr w:type="spellStart"/>
      <w:r w:rsidRPr="009D1ECF">
        <w:rPr>
          <w:rFonts w:eastAsia="Times New Roman" w:cstheme="minorHAnsi"/>
          <w:i/>
          <w:color w:val="222222"/>
          <w:sz w:val="22"/>
          <w:szCs w:val="22"/>
        </w:rPr>
        <w:t>altissima</w:t>
      </w:r>
      <w:proofErr w:type="spellEnd"/>
    </w:p>
    <w:p w:rsidR="009A0BC7" w:rsidRDefault="009D1ECF" w:rsidP="009D1ECF">
      <w:pPr>
        <w:pStyle w:val="ListParagraph"/>
        <w:numPr>
          <w:ilvl w:val="0"/>
          <w:numId w:val="8"/>
        </w:numPr>
      </w:pPr>
      <w:r>
        <w:t xml:space="preserve">Himalayan Blackberry – </w:t>
      </w:r>
      <w:proofErr w:type="spellStart"/>
      <w:r w:rsidRPr="009D1ECF">
        <w:rPr>
          <w:i/>
        </w:rPr>
        <w:t>Rubus</w:t>
      </w:r>
      <w:proofErr w:type="spellEnd"/>
      <w:r w:rsidRPr="009D1ECF">
        <w:rPr>
          <w:i/>
        </w:rPr>
        <w:t xml:space="preserve"> </w:t>
      </w:r>
      <w:proofErr w:type="spellStart"/>
      <w:r w:rsidRPr="009D1ECF">
        <w:rPr>
          <w:i/>
        </w:rPr>
        <w:t>armeniacus</w:t>
      </w:r>
      <w:proofErr w:type="spellEnd"/>
      <w:r w:rsidRPr="009D1ECF">
        <w:rPr>
          <w:i/>
        </w:rPr>
        <w:t xml:space="preserve"> </w:t>
      </w:r>
      <w:hyperlink r:id="rId9" w:anchor="imgrc=73QAPXu61vpDCM" w:history="1">
        <w:r w:rsidR="009A0BC7" w:rsidRPr="009D1ECF">
          <w:rPr>
            <w:rFonts w:ascii="Arial" w:eastAsia="Times New Roman" w:hAnsi="Arial" w:cs="Arial"/>
            <w:color w:val="1A0DAB"/>
          </w:rPr>
          <w:br/>
        </w:r>
      </w:hyperlink>
    </w:p>
    <w:p w:rsidR="00B46605" w:rsidRPr="00F017CE" w:rsidRDefault="00B46605" w:rsidP="00F017CE">
      <w:pPr>
        <w:pStyle w:val="Heading2"/>
        <w:numPr>
          <w:ilvl w:val="0"/>
          <w:numId w:val="17"/>
        </w:numPr>
        <w:rPr>
          <w:u w:val="single"/>
        </w:rPr>
      </w:pPr>
      <w:r w:rsidRPr="00F017CE">
        <w:rPr>
          <w:u w:val="single"/>
        </w:rPr>
        <w:t xml:space="preserve">Invasive Species Inventory </w:t>
      </w:r>
    </w:p>
    <w:p w:rsidR="00F017CE" w:rsidRPr="00F017CE" w:rsidRDefault="00F017CE" w:rsidP="00F017CE"/>
    <w:p w:rsidR="00B46605" w:rsidRDefault="00496066" w:rsidP="00B46605">
      <w:r>
        <w:t xml:space="preserve">After the Rapid Assessment, monitors will begin the invasive species inventory. This is different than the common invasive species, in that </w:t>
      </w:r>
      <w:r w:rsidR="004A5AA7">
        <w:t xml:space="preserve">these are species that will be treated annually or are species of interest (e.g., List A). </w:t>
      </w:r>
      <w:r w:rsidR="00B46605">
        <w:t>Monitors will draw a polygon around infestations of invasive species of concern found in each site. This process can occur at the same time as the rapid assessments. The monitors will fill out the attribute table</w:t>
      </w:r>
      <w:r w:rsidR="00286C56">
        <w:t xml:space="preserve"> (figure 2)</w:t>
      </w:r>
      <w:r w:rsidR="00B46605">
        <w:t xml:space="preserve"> in Figure 2 for each infestation area</w:t>
      </w:r>
      <w:r w:rsidR="00286C56">
        <w:t xml:space="preserve"> they map</w:t>
      </w:r>
      <w:r w:rsidR="00B46605">
        <w:t xml:space="preserve">. </w:t>
      </w:r>
      <w:r w:rsidR="00286C56">
        <w:t xml:space="preserve">Having exact polygons of species of concern will help land managers and land owners target treatments in a streamlined and efficient manner. </w:t>
      </w:r>
    </w:p>
    <w:p w:rsidR="00B46605" w:rsidRDefault="00B46605" w:rsidP="00B46605">
      <w:r>
        <w:lastRenderedPageBreak/>
        <w:t>List of invasive species of concern:</w:t>
      </w:r>
    </w:p>
    <w:p w:rsidR="00B46605" w:rsidRDefault="00B46605" w:rsidP="00B46605">
      <w:pPr>
        <w:pStyle w:val="ListParagraph"/>
        <w:numPr>
          <w:ilvl w:val="0"/>
          <w:numId w:val="5"/>
        </w:numPr>
      </w:pPr>
      <w:r>
        <w:t xml:space="preserve">Perennial </w:t>
      </w:r>
      <w:proofErr w:type="spellStart"/>
      <w:r>
        <w:t>pepperweed</w:t>
      </w:r>
      <w:proofErr w:type="spellEnd"/>
      <w:r w:rsidR="00086D78">
        <w:t xml:space="preserve"> – </w:t>
      </w:r>
      <w:r w:rsidR="00086D78">
        <w:rPr>
          <w:i/>
        </w:rPr>
        <w:t xml:space="preserve">Lepidium </w:t>
      </w:r>
      <w:proofErr w:type="spellStart"/>
      <w:r w:rsidR="00086D78">
        <w:rPr>
          <w:i/>
        </w:rPr>
        <w:t>latifolium</w:t>
      </w:r>
      <w:proofErr w:type="spellEnd"/>
      <w:r w:rsidR="00086D78">
        <w:rPr>
          <w:i/>
        </w:rPr>
        <w:t xml:space="preserve"> </w:t>
      </w:r>
    </w:p>
    <w:p w:rsidR="00B46605" w:rsidRDefault="00B46605" w:rsidP="00B46605">
      <w:pPr>
        <w:pStyle w:val="ListParagraph"/>
        <w:numPr>
          <w:ilvl w:val="0"/>
          <w:numId w:val="5"/>
        </w:numPr>
      </w:pPr>
      <w:r>
        <w:t xml:space="preserve">Purple </w:t>
      </w:r>
      <w:proofErr w:type="spellStart"/>
      <w:r>
        <w:t>loost</w:t>
      </w:r>
      <w:r w:rsidR="00283AEF">
        <w:t>rife</w:t>
      </w:r>
      <w:proofErr w:type="spellEnd"/>
      <w:r w:rsidR="00283AEF">
        <w:t xml:space="preserve"> </w:t>
      </w:r>
      <w:r w:rsidR="00086D78">
        <w:t xml:space="preserve">– </w:t>
      </w:r>
      <w:proofErr w:type="spellStart"/>
      <w:r w:rsidR="00086D78">
        <w:rPr>
          <w:i/>
        </w:rPr>
        <w:t>Lythrum</w:t>
      </w:r>
      <w:proofErr w:type="spellEnd"/>
      <w:r w:rsidR="00086D78">
        <w:rPr>
          <w:i/>
        </w:rPr>
        <w:t xml:space="preserve"> </w:t>
      </w:r>
      <w:proofErr w:type="spellStart"/>
      <w:r w:rsidR="00086D78">
        <w:rPr>
          <w:i/>
        </w:rPr>
        <w:t>salicaria</w:t>
      </w:r>
      <w:proofErr w:type="spellEnd"/>
    </w:p>
    <w:p w:rsidR="00B46605" w:rsidRDefault="00B46605" w:rsidP="00B46605">
      <w:pPr>
        <w:pStyle w:val="ListParagraph"/>
        <w:numPr>
          <w:ilvl w:val="0"/>
          <w:numId w:val="5"/>
        </w:numPr>
      </w:pPr>
      <w:r>
        <w:t>Hoary cress</w:t>
      </w:r>
      <w:r w:rsidR="00086D78">
        <w:t xml:space="preserve"> – </w:t>
      </w:r>
      <w:r w:rsidR="00086D78">
        <w:rPr>
          <w:i/>
        </w:rPr>
        <w:t xml:space="preserve">Lepidium </w:t>
      </w:r>
      <w:proofErr w:type="spellStart"/>
      <w:r w:rsidR="00086D78">
        <w:rPr>
          <w:i/>
        </w:rPr>
        <w:t>draba</w:t>
      </w:r>
      <w:proofErr w:type="spellEnd"/>
    </w:p>
    <w:p w:rsidR="00B46605" w:rsidRDefault="00B46605" w:rsidP="00B46605">
      <w:pPr>
        <w:pStyle w:val="ListParagraph"/>
        <w:numPr>
          <w:ilvl w:val="0"/>
          <w:numId w:val="5"/>
        </w:numPr>
      </w:pPr>
      <w:r>
        <w:t>Russian knapweed</w:t>
      </w:r>
      <w:r w:rsidR="00086D78">
        <w:t xml:space="preserve"> - </w:t>
      </w:r>
      <w:proofErr w:type="spellStart"/>
      <w:r w:rsidR="00086D78">
        <w:rPr>
          <w:i/>
        </w:rPr>
        <w:t>Rhaponticum</w:t>
      </w:r>
      <w:proofErr w:type="spellEnd"/>
      <w:r w:rsidR="00086D78">
        <w:rPr>
          <w:i/>
        </w:rPr>
        <w:t xml:space="preserve"> </w:t>
      </w:r>
      <w:proofErr w:type="spellStart"/>
      <w:r w:rsidR="00086D78">
        <w:rPr>
          <w:i/>
        </w:rPr>
        <w:t>repens</w:t>
      </w:r>
      <w:proofErr w:type="spellEnd"/>
    </w:p>
    <w:p w:rsidR="00B46605" w:rsidRDefault="00B46605" w:rsidP="00B46605">
      <w:pPr>
        <w:pStyle w:val="ListParagraph"/>
        <w:numPr>
          <w:ilvl w:val="0"/>
          <w:numId w:val="5"/>
        </w:numPr>
      </w:pPr>
      <w:r>
        <w:t>Canada thistle</w:t>
      </w:r>
      <w:r w:rsidR="00086D78">
        <w:t xml:space="preserve"> – </w:t>
      </w:r>
      <w:r w:rsidR="00086D78">
        <w:rPr>
          <w:i/>
        </w:rPr>
        <w:t xml:space="preserve">Cirsium </w:t>
      </w:r>
      <w:proofErr w:type="spellStart"/>
      <w:r w:rsidR="00086D78">
        <w:rPr>
          <w:i/>
        </w:rPr>
        <w:t>arvense</w:t>
      </w:r>
      <w:proofErr w:type="spellEnd"/>
    </w:p>
    <w:p w:rsidR="00B46605" w:rsidRDefault="00B46605" w:rsidP="00B46605">
      <w:pPr>
        <w:pStyle w:val="ListParagraph"/>
        <w:numPr>
          <w:ilvl w:val="0"/>
          <w:numId w:val="5"/>
        </w:numPr>
      </w:pPr>
      <w:r>
        <w:t>Siberian elm</w:t>
      </w:r>
      <w:r w:rsidR="00086D78">
        <w:t xml:space="preserve"> - </w:t>
      </w:r>
      <w:proofErr w:type="spellStart"/>
      <w:r w:rsidR="00086D78">
        <w:rPr>
          <w:i/>
        </w:rPr>
        <w:t>Ulmus</w:t>
      </w:r>
      <w:proofErr w:type="spellEnd"/>
      <w:r w:rsidR="00086D78">
        <w:rPr>
          <w:i/>
        </w:rPr>
        <w:t xml:space="preserve"> </w:t>
      </w:r>
      <w:proofErr w:type="spellStart"/>
      <w:r w:rsidR="00086D78">
        <w:rPr>
          <w:i/>
        </w:rPr>
        <w:t>pumila</w:t>
      </w:r>
      <w:proofErr w:type="spellEnd"/>
    </w:p>
    <w:p w:rsidR="007B1651" w:rsidRDefault="007B1651" w:rsidP="00B46605">
      <w:pPr>
        <w:pStyle w:val="ListParagraph"/>
        <w:numPr>
          <w:ilvl w:val="0"/>
          <w:numId w:val="5"/>
        </w:numPr>
      </w:pPr>
      <w:r>
        <w:t>Russian thistle</w:t>
      </w:r>
      <w:r w:rsidR="00086D78">
        <w:t xml:space="preserve"> - </w:t>
      </w:r>
      <w:proofErr w:type="spellStart"/>
      <w:r w:rsidR="00086D78">
        <w:rPr>
          <w:i/>
        </w:rPr>
        <w:t>Salsola</w:t>
      </w:r>
      <w:proofErr w:type="spellEnd"/>
      <w:r w:rsidR="00086D78">
        <w:rPr>
          <w:i/>
        </w:rPr>
        <w:t xml:space="preserve"> tragus</w:t>
      </w:r>
    </w:p>
    <w:p w:rsidR="00120AFC" w:rsidRDefault="00120AFC" w:rsidP="00B46605">
      <w:pPr>
        <w:pStyle w:val="ListParagraph"/>
        <w:numPr>
          <w:ilvl w:val="0"/>
          <w:numId w:val="5"/>
        </w:numPr>
      </w:pPr>
      <w:r>
        <w:t xml:space="preserve">Kochia </w:t>
      </w:r>
      <w:r w:rsidR="00086D78">
        <w:t xml:space="preserve">- </w:t>
      </w:r>
      <w:proofErr w:type="spellStart"/>
      <w:r w:rsidR="00086D78">
        <w:rPr>
          <w:i/>
        </w:rPr>
        <w:t>Bassia</w:t>
      </w:r>
      <w:proofErr w:type="spellEnd"/>
      <w:r w:rsidR="00086D78">
        <w:rPr>
          <w:i/>
        </w:rPr>
        <w:t xml:space="preserve"> </w:t>
      </w:r>
      <w:proofErr w:type="spellStart"/>
      <w:r w:rsidR="00086D78">
        <w:rPr>
          <w:i/>
        </w:rPr>
        <w:t>scoparia</w:t>
      </w:r>
      <w:proofErr w:type="spellEnd"/>
    </w:p>
    <w:p w:rsidR="008A62DB" w:rsidRDefault="008A62DB" w:rsidP="00B46605">
      <w:pPr>
        <w:pStyle w:val="ListParagraph"/>
        <w:numPr>
          <w:ilvl w:val="0"/>
          <w:numId w:val="5"/>
        </w:numPr>
      </w:pPr>
      <w:r>
        <w:t xml:space="preserve">Yellow toadflax </w:t>
      </w:r>
      <w:r w:rsidR="00086D78">
        <w:t xml:space="preserve">– </w:t>
      </w:r>
      <w:r w:rsidR="00086D78">
        <w:rPr>
          <w:i/>
        </w:rPr>
        <w:t xml:space="preserve">Linaria vulgaris </w:t>
      </w:r>
    </w:p>
    <w:p w:rsidR="00B41820" w:rsidRPr="00B41820" w:rsidRDefault="00086D78" w:rsidP="00B46605">
      <w:pPr>
        <w:pStyle w:val="ListParagraph"/>
        <w:numPr>
          <w:ilvl w:val="0"/>
          <w:numId w:val="5"/>
        </w:numPr>
      </w:pPr>
      <w:r>
        <w:t xml:space="preserve">Cocklebur – </w:t>
      </w:r>
      <w:r>
        <w:rPr>
          <w:i/>
        </w:rPr>
        <w:t xml:space="preserve">Xanthium </w:t>
      </w:r>
      <w:proofErr w:type="spellStart"/>
      <w:r>
        <w:rPr>
          <w:i/>
        </w:rPr>
        <w:t>strumarium</w:t>
      </w:r>
      <w:proofErr w:type="spellEnd"/>
    </w:p>
    <w:p w:rsidR="00086D78" w:rsidRPr="00562E9F" w:rsidRDefault="00B41820" w:rsidP="00B41820">
      <w:pPr>
        <w:pStyle w:val="ListParagraph"/>
      </w:pPr>
      <w:r w:rsidRPr="00E82551">
        <w:rPr>
          <w:noProof/>
          <w:u w:val="single"/>
        </w:rPr>
        <mc:AlternateContent>
          <mc:Choice Requires="wps">
            <w:drawing>
              <wp:anchor distT="0" distB="0" distL="114300" distR="114300" simplePos="0" relativeHeight="251667456" behindDoc="0" locked="0" layoutInCell="1" allowOverlap="1" wp14:anchorId="6D437FFF" wp14:editId="51925245">
                <wp:simplePos x="0" y="0"/>
                <wp:positionH relativeFrom="column">
                  <wp:posOffset>485775</wp:posOffset>
                </wp:positionH>
                <wp:positionV relativeFrom="paragraph">
                  <wp:posOffset>3672205</wp:posOffset>
                </wp:positionV>
                <wp:extent cx="3439795" cy="6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3439795" cy="635"/>
                        </a:xfrm>
                        <a:prstGeom prst="rect">
                          <a:avLst/>
                        </a:prstGeom>
                        <a:solidFill>
                          <a:prstClr val="white"/>
                        </a:solidFill>
                        <a:ln>
                          <a:noFill/>
                        </a:ln>
                      </wps:spPr>
                      <wps:txbx>
                        <w:txbxContent>
                          <w:p w:rsidR="00286C56" w:rsidRPr="004D6EA7" w:rsidRDefault="00286C56" w:rsidP="00286C56">
                            <w:pPr>
                              <w:pStyle w:val="Caption"/>
                              <w:rPr>
                                <w:caps/>
                                <w:noProof/>
                                <w:color w:val="auto"/>
                                <w:sz w:val="36"/>
                                <w:szCs w:val="36"/>
                              </w:rPr>
                            </w:pPr>
                            <w:r>
                              <w:t>Figure 2. Invasive species inventory attribute 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437FFF" id="Text Box 6" o:spid="_x0000_s1027" type="#_x0000_t202" style="position:absolute;left:0;text-align:left;margin-left:38.25pt;margin-top:289.15pt;width:270.8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" stroked="f">
                <v:textbox style="mso-fit-shape-to-text:t" inset="0,0,0,0">
                  <w:txbxContent>
                    <w:p w:rsidR="00286C56" w:rsidRPr="004D6EA7" w:rsidRDefault="00286C56" w:rsidP="00286C56">
                      <w:pPr>
                        <w:pStyle w:val="Caption"/>
                        <w:rPr>
                          <w:caps/>
                          <w:noProof/>
                          <w:color w:val="auto"/>
                          <w:sz w:val="36"/>
                          <w:szCs w:val="36"/>
                        </w:rPr>
                      </w:pPr>
                      <w:r>
                        <w:t>Figure 2. Invasive species inventory attribute table</w:t>
                      </w:r>
                    </w:p>
                  </w:txbxContent>
                </v:textbox>
                <w10:wrap type="topAndBottom"/>
              </v:shape>
            </w:pict>
          </mc:Fallback>
        </mc:AlternateContent>
      </w:r>
      <w:r w:rsidR="00086D78">
        <w:rPr>
          <w:i/>
        </w:rPr>
        <w:t xml:space="preserve"> </w:t>
      </w:r>
      <w:r w:rsidRPr="00B41820">
        <w:drawing>
          <wp:inline distT="0" distB="0" distL="0" distR="0" wp14:anchorId="5942D09C" wp14:editId="7349DF1D">
            <wp:extent cx="2495898" cy="355332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95898" cy="3553321"/>
                    </a:xfrm>
                    <a:prstGeom prst="rect">
                      <a:avLst/>
                    </a:prstGeom>
                  </pic:spPr>
                </pic:pic>
              </a:graphicData>
            </a:graphic>
          </wp:inline>
        </w:drawing>
      </w:r>
      <w:bookmarkStart w:id="0" w:name="_GoBack"/>
      <w:bookmarkEnd w:id="0"/>
    </w:p>
    <w:p w:rsidR="00562E9F" w:rsidRDefault="00562E9F" w:rsidP="00562E9F">
      <w:pPr>
        <w:pStyle w:val="ListParagraph"/>
      </w:pPr>
    </w:p>
    <w:p w:rsidR="00B46605" w:rsidRPr="00E82551" w:rsidRDefault="00E82551" w:rsidP="00E82551">
      <w:pPr>
        <w:pStyle w:val="Heading2"/>
        <w:numPr>
          <w:ilvl w:val="0"/>
          <w:numId w:val="17"/>
        </w:numPr>
        <w:rPr>
          <w:u w:val="single"/>
        </w:rPr>
      </w:pPr>
      <w:r w:rsidRPr="00E82551">
        <w:rPr>
          <w:u w:val="single"/>
        </w:rPr>
        <w:t>P</w:t>
      </w:r>
      <w:r w:rsidR="007460A1" w:rsidRPr="00E82551">
        <w:rPr>
          <w:u w:val="single"/>
        </w:rPr>
        <w:t xml:space="preserve">assive </w:t>
      </w:r>
      <w:r w:rsidRPr="00E82551">
        <w:rPr>
          <w:u w:val="single"/>
        </w:rPr>
        <w:t>R</w:t>
      </w:r>
      <w:r w:rsidR="007460A1" w:rsidRPr="00E82551">
        <w:rPr>
          <w:u w:val="single"/>
        </w:rPr>
        <w:t xml:space="preserve">ecruitment </w:t>
      </w:r>
      <w:r w:rsidR="001B75F0" w:rsidRPr="00E82551">
        <w:rPr>
          <w:u w:val="single"/>
        </w:rPr>
        <w:t xml:space="preserve">Assessment </w:t>
      </w:r>
    </w:p>
    <w:p w:rsidR="00E82551" w:rsidRPr="00E82551" w:rsidRDefault="00E82551" w:rsidP="00E82551"/>
    <w:p w:rsidR="007460A1" w:rsidRDefault="007460A1" w:rsidP="007460A1">
      <w:pPr>
        <w:pStyle w:val="NormalWeb"/>
        <w:spacing w:before="0" w:beforeAutospacing="0" w:after="160" w:afterAutospacing="0"/>
      </w:pPr>
      <w:r>
        <w:rPr>
          <w:rFonts w:ascii="Calibri" w:hAnsi="Calibri" w:cs="Calibri"/>
          <w:color w:val="000000"/>
          <w:sz w:val="22"/>
          <w:szCs w:val="22"/>
        </w:rPr>
        <w:t xml:space="preserve">The passive recruitment protocol </w:t>
      </w:r>
      <w:r w:rsidR="00286C56">
        <w:rPr>
          <w:rFonts w:ascii="Calibri" w:hAnsi="Calibri" w:cs="Calibri"/>
          <w:color w:val="000000"/>
          <w:sz w:val="22"/>
          <w:szCs w:val="22"/>
        </w:rPr>
        <w:t xml:space="preserve">adapted from the Dolores River Restoration Partnership (DRRP) </w:t>
      </w:r>
      <w:r w:rsidR="00D931DD">
        <w:rPr>
          <w:rFonts w:ascii="Calibri" w:hAnsi="Calibri" w:cs="Calibri"/>
          <w:color w:val="000000"/>
          <w:sz w:val="22"/>
          <w:szCs w:val="22"/>
        </w:rPr>
        <w:t>will measure the naturally recruiting woody and herbaceous vegetation on all monitoring sites (i.e., vegetation occurring not from active re-vegetation</w:t>
      </w:r>
      <w:r>
        <w:rPr>
          <w:rFonts w:ascii="Calibri" w:hAnsi="Calibri" w:cs="Calibri"/>
          <w:color w:val="000000"/>
          <w:sz w:val="22"/>
          <w:szCs w:val="22"/>
        </w:rPr>
        <w:t>.</w:t>
      </w:r>
      <w:r w:rsidR="00D931DD">
        <w:rPr>
          <w:rFonts w:ascii="Calibri" w:hAnsi="Calibri" w:cs="Calibri"/>
          <w:color w:val="000000"/>
          <w:sz w:val="22"/>
          <w:szCs w:val="22"/>
        </w:rPr>
        <w:t>)</w:t>
      </w:r>
      <w:r>
        <w:rPr>
          <w:rFonts w:ascii="Calibri" w:hAnsi="Calibri" w:cs="Calibri"/>
          <w:color w:val="000000"/>
          <w:sz w:val="22"/>
          <w:szCs w:val="22"/>
        </w:rPr>
        <w:t xml:space="preserve"> In order for a site to show evidence of natural recruitment the site must meet at-least </w:t>
      </w:r>
      <w:r w:rsidR="00D931DD">
        <w:rPr>
          <w:rFonts w:ascii="Calibri" w:hAnsi="Calibri" w:cs="Calibri"/>
          <w:color w:val="000000"/>
          <w:sz w:val="22"/>
          <w:szCs w:val="22"/>
        </w:rPr>
        <w:t>four</w:t>
      </w:r>
      <w:r>
        <w:rPr>
          <w:rFonts w:ascii="Calibri" w:hAnsi="Calibri" w:cs="Calibri"/>
          <w:color w:val="000000"/>
          <w:sz w:val="22"/>
          <w:szCs w:val="22"/>
        </w:rPr>
        <w:t xml:space="preserve"> of the following criteria:</w:t>
      </w:r>
    </w:p>
    <w:p w:rsidR="007460A1" w:rsidRDefault="007460A1" w:rsidP="007460A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lastRenderedPageBreak/>
        <w:t>At least 100 young coyote willow stems between 0.5 meters and 1 meter in height</w:t>
      </w:r>
    </w:p>
    <w:p w:rsidR="007460A1" w:rsidRDefault="007460A1" w:rsidP="007460A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At least 20 young cottonwoods, including plains and narrowleaf cottonwood species, that are greater than 1 meter in height with a diameter at breast height no greater than 10 cm </w:t>
      </w:r>
    </w:p>
    <w:p w:rsidR="007460A1" w:rsidRDefault="007460A1" w:rsidP="009D66C3">
      <w:pPr>
        <w:pStyle w:val="NormalWeb"/>
        <w:numPr>
          <w:ilvl w:val="0"/>
          <w:numId w:val="6"/>
        </w:numPr>
        <w:spacing w:before="0" w:beforeAutospacing="0" w:after="0" w:afterAutospacing="0"/>
        <w:contextualSpacing/>
        <w:textAlignment w:val="baseline"/>
        <w:rPr>
          <w:rFonts w:ascii="Arial" w:hAnsi="Arial" w:cs="Arial"/>
          <w:color w:val="000000"/>
          <w:sz w:val="22"/>
          <w:szCs w:val="22"/>
        </w:rPr>
      </w:pPr>
      <w:r>
        <w:rPr>
          <w:rFonts w:ascii="Calibri" w:hAnsi="Calibri" w:cs="Calibri"/>
          <w:color w:val="000000"/>
          <w:sz w:val="22"/>
          <w:szCs w:val="22"/>
        </w:rPr>
        <w:t>At least 20 young box elder maple trees that are greater than 1 meter in height with a diameter at breast height no greater than 10 cm </w:t>
      </w:r>
    </w:p>
    <w:p w:rsidR="007460A1" w:rsidRDefault="007460A1" w:rsidP="009D66C3">
      <w:pPr>
        <w:pStyle w:val="NormalWeb"/>
        <w:numPr>
          <w:ilvl w:val="0"/>
          <w:numId w:val="6"/>
        </w:numPr>
        <w:spacing w:before="0" w:beforeAutospacing="0" w:after="0" w:afterAutospacing="0"/>
        <w:contextualSpacing/>
        <w:textAlignment w:val="baseline"/>
        <w:rPr>
          <w:rFonts w:ascii="Arial" w:hAnsi="Arial" w:cs="Arial"/>
          <w:color w:val="000000"/>
          <w:sz w:val="22"/>
          <w:szCs w:val="22"/>
        </w:rPr>
      </w:pPr>
      <w:r>
        <w:rPr>
          <w:rFonts w:ascii="Calibri" w:hAnsi="Calibri" w:cs="Calibri"/>
          <w:color w:val="000000"/>
          <w:sz w:val="22"/>
          <w:szCs w:val="22"/>
        </w:rPr>
        <w:t>At least 20 individuals of New Mexico Privet that are young (2 – 10 stems at ground surface)</w:t>
      </w:r>
    </w:p>
    <w:p w:rsidR="007460A1" w:rsidRDefault="007460A1" w:rsidP="009D66C3">
      <w:pPr>
        <w:pStyle w:val="NormalWeb"/>
        <w:numPr>
          <w:ilvl w:val="0"/>
          <w:numId w:val="6"/>
        </w:numPr>
        <w:spacing w:before="0" w:beforeAutospacing="0" w:after="0" w:afterAutospacing="0"/>
        <w:contextualSpacing/>
        <w:textAlignment w:val="baseline"/>
        <w:rPr>
          <w:rFonts w:ascii="Arial" w:hAnsi="Arial" w:cs="Arial"/>
          <w:color w:val="000000"/>
          <w:sz w:val="22"/>
          <w:szCs w:val="22"/>
        </w:rPr>
      </w:pPr>
      <w:r>
        <w:rPr>
          <w:rFonts w:ascii="Calibri" w:hAnsi="Calibri" w:cs="Calibri"/>
          <w:color w:val="000000"/>
          <w:sz w:val="22"/>
          <w:szCs w:val="22"/>
        </w:rPr>
        <w:t>At least 20 individuals of Three-leaf Sumac that are young (2 – 10 stems at ground surface)</w:t>
      </w:r>
    </w:p>
    <w:p w:rsidR="00AF2A3A" w:rsidRPr="00AF2A3A" w:rsidRDefault="007460A1" w:rsidP="009D66C3">
      <w:pPr>
        <w:pStyle w:val="NormalWeb"/>
        <w:numPr>
          <w:ilvl w:val="0"/>
          <w:numId w:val="6"/>
        </w:numPr>
        <w:spacing w:before="0" w:beforeAutospacing="0" w:after="160" w:afterAutospacing="0"/>
        <w:contextualSpacing/>
        <w:textAlignment w:val="baseline"/>
        <w:rPr>
          <w:rFonts w:ascii="Arial" w:hAnsi="Arial" w:cs="Arial"/>
          <w:color w:val="000000"/>
          <w:sz w:val="22"/>
          <w:szCs w:val="22"/>
        </w:rPr>
      </w:pPr>
      <w:r>
        <w:rPr>
          <w:rFonts w:ascii="Calibri" w:hAnsi="Calibri" w:cs="Calibri"/>
          <w:color w:val="000000"/>
          <w:sz w:val="22"/>
          <w:szCs w:val="22"/>
        </w:rPr>
        <w:t xml:space="preserve">At least 20 individuals of Willow </w:t>
      </w:r>
      <w:proofErr w:type="spellStart"/>
      <w:r>
        <w:rPr>
          <w:rFonts w:ascii="Calibri" w:hAnsi="Calibri" w:cs="Calibri"/>
          <w:color w:val="000000"/>
          <w:sz w:val="22"/>
          <w:szCs w:val="22"/>
        </w:rPr>
        <w:t>Baccharis</w:t>
      </w:r>
      <w:proofErr w:type="spellEnd"/>
      <w:r>
        <w:rPr>
          <w:rFonts w:ascii="Calibri" w:hAnsi="Calibri" w:cs="Calibri"/>
          <w:color w:val="000000"/>
          <w:sz w:val="22"/>
          <w:szCs w:val="22"/>
        </w:rPr>
        <w:t xml:space="preserve"> that are young (2 – 10 stems at ground surface</w:t>
      </w:r>
    </w:p>
    <w:p w:rsidR="00AF2A3A" w:rsidRPr="009D66C3" w:rsidRDefault="002602A3" w:rsidP="009D66C3">
      <w:pPr>
        <w:pStyle w:val="NormalWeb"/>
        <w:numPr>
          <w:ilvl w:val="0"/>
          <w:numId w:val="6"/>
        </w:numPr>
        <w:spacing w:before="0" w:beforeAutospacing="0" w:after="0" w:afterAutospacing="0"/>
        <w:contextualSpacing/>
        <w:textAlignment w:val="baseline"/>
        <w:rPr>
          <w:rFonts w:ascii="Arial" w:hAnsi="Arial" w:cs="Arial"/>
          <w:color w:val="000000"/>
          <w:sz w:val="22"/>
          <w:szCs w:val="22"/>
        </w:rPr>
      </w:pPr>
      <w:r>
        <w:rPr>
          <w:rFonts w:ascii="Calibri" w:hAnsi="Calibri" w:cs="Calibri"/>
          <w:color w:val="000000"/>
          <w:sz w:val="22"/>
          <w:szCs w:val="22"/>
        </w:rPr>
        <w:t>Native u</w:t>
      </w:r>
      <w:r w:rsidR="00AF2A3A">
        <w:rPr>
          <w:rFonts w:ascii="Calibri" w:hAnsi="Calibri" w:cs="Calibri"/>
          <w:color w:val="000000"/>
          <w:sz w:val="22"/>
          <w:szCs w:val="22"/>
        </w:rPr>
        <w:t>nderstory herbaceous</w:t>
      </w:r>
      <w:r>
        <w:rPr>
          <w:rFonts w:ascii="Calibri" w:hAnsi="Calibri" w:cs="Calibri"/>
          <w:color w:val="000000"/>
          <w:sz w:val="22"/>
          <w:szCs w:val="22"/>
        </w:rPr>
        <w:t xml:space="preserve"> cover area 10 square feet or larger</w:t>
      </w:r>
      <w:r w:rsidR="00AF2A3A">
        <w:rPr>
          <w:rFonts w:ascii="Calibri" w:hAnsi="Calibri" w:cs="Calibri"/>
          <w:color w:val="000000"/>
          <w:sz w:val="22"/>
          <w:szCs w:val="22"/>
        </w:rPr>
        <w:t xml:space="preserve"> </w:t>
      </w:r>
    </w:p>
    <w:p w:rsidR="00AF2A3A" w:rsidRPr="00AF2A3A" w:rsidRDefault="00AF2A3A" w:rsidP="00496066">
      <w:pPr>
        <w:pStyle w:val="NormalWeb"/>
        <w:spacing w:before="0" w:beforeAutospacing="0" w:after="160" w:afterAutospacing="0"/>
        <w:textAlignment w:val="baseline"/>
        <w:rPr>
          <w:rFonts w:ascii="Arial" w:hAnsi="Arial" w:cs="Arial"/>
          <w:color w:val="000000"/>
          <w:sz w:val="22"/>
          <w:szCs w:val="22"/>
        </w:rPr>
      </w:pPr>
    </w:p>
    <w:p w:rsidR="007460A1" w:rsidRDefault="007460A1" w:rsidP="007460A1">
      <w:pPr>
        <w:pStyle w:val="NormalWeb"/>
        <w:spacing w:before="0" w:beforeAutospacing="0" w:after="160" w:afterAutospacing="0"/>
        <w:rPr>
          <w:rFonts w:ascii="Calibri" w:hAnsi="Calibri" w:cs="Calibri"/>
          <w:color w:val="000000"/>
          <w:sz w:val="22"/>
          <w:szCs w:val="22"/>
        </w:rPr>
      </w:pPr>
      <w:r w:rsidRPr="007F12D6">
        <w:rPr>
          <w:rFonts w:ascii="Calibri" w:hAnsi="Calibri" w:cs="Calibri"/>
          <w:color w:val="000000"/>
          <w:sz w:val="22"/>
          <w:szCs w:val="22"/>
        </w:rPr>
        <w:t>Monitors collect a passive recruitment point and fill out an associated attribute table for each site. This information informs the whether the “</w:t>
      </w:r>
      <w:proofErr w:type="spellStart"/>
      <w:r w:rsidRPr="007F12D6">
        <w:rPr>
          <w:rFonts w:ascii="Calibri" w:hAnsi="Calibri" w:cs="Calibri"/>
          <w:color w:val="000000"/>
          <w:sz w:val="22"/>
          <w:szCs w:val="22"/>
        </w:rPr>
        <w:t>Evidence_Natural_Recruitment</w:t>
      </w:r>
      <w:proofErr w:type="spellEnd"/>
      <w:r w:rsidRPr="007F12D6">
        <w:rPr>
          <w:rFonts w:ascii="Calibri" w:hAnsi="Calibri" w:cs="Calibri"/>
          <w:color w:val="000000"/>
          <w:sz w:val="22"/>
          <w:szCs w:val="22"/>
        </w:rPr>
        <w:t xml:space="preserve">” attribute in the Rapid Assessment is a “Yes” or “No.” Other information collected for passive recruitment includes presence of white crust on soil and evidence of bank erosion. </w:t>
      </w:r>
    </w:p>
    <w:p w:rsidR="001E7B4F" w:rsidRDefault="001E7B4F" w:rsidP="001E7B4F">
      <w:pPr>
        <w:pStyle w:val="NormalWeb"/>
        <w:keepNext/>
        <w:spacing w:before="0" w:beforeAutospacing="0" w:after="160" w:afterAutospacing="0"/>
      </w:pPr>
      <w:r w:rsidRPr="001E7B4F">
        <w:rPr>
          <w:rFonts w:ascii="Calibri" w:hAnsi="Calibri" w:cs="Calibri"/>
          <w:noProof/>
          <w:color w:val="000000"/>
          <w:sz w:val="22"/>
          <w:szCs w:val="22"/>
        </w:rPr>
        <w:drawing>
          <wp:inline distT="0" distB="0" distL="0" distR="0" wp14:anchorId="7D21482F" wp14:editId="1CF32B75">
            <wp:extent cx="4568651" cy="379793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7835" cy="3805570"/>
                    </a:xfrm>
                    <a:prstGeom prst="rect">
                      <a:avLst/>
                    </a:prstGeom>
                  </pic:spPr>
                </pic:pic>
              </a:graphicData>
            </a:graphic>
          </wp:inline>
        </w:drawing>
      </w:r>
    </w:p>
    <w:p w:rsidR="001E7B4F" w:rsidRPr="007F12D6" w:rsidRDefault="001E7B4F" w:rsidP="001E7B4F">
      <w:pPr>
        <w:pStyle w:val="Caption"/>
        <w:rPr>
          <w:rFonts w:ascii="Calibri" w:hAnsi="Calibri" w:cs="Calibri"/>
          <w:color w:val="000000"/>
          <w:sz w:val="22"/>
          <w:szCs w:val="22"/>
        </w:rPr>
      </w:pPr>
      <w:r>
        <w:t>Figure 3. Passive Recruitment Attribute Table</w:t>
      </w:r>
    </w:p>
    <w:p w:rsidR="007F12D6" w:rsidRDefault="007F12D6" w:rsidP="00E4259E">
      <w:pPr>
        <w:pStyle w:val="Heading2"/>
        <w:numPr>
          <w:ilvl w:val="0"/>
          <w:numId w:val="24"/>
        </w:numPr>
        <w:rPr>
          <w:rFonts w:eastAsia="Times New Roman"/>
          <w:sz w:val="28"/>
          <w:szCs w:val="28"/>
        </w:rPr>
      </w:pPr>
      <w:r w:rsidRPr="00E4259E">
        <w:rPr>
          <w:rFonts w:eastAsia="Times New Roman"/>
          <w:sz w:val="28"/>
          <w:szCs w:val="28"/>
        </w:rPr>
        <w:t>Data Collection Method</w:t>
      </w:r>
    </w:p>
    <w:p w:rsidR="00E4259E" w:rsidRPr="00E4259E" w:rsidRDefault="00E4259E" w:rsidP="00E4259E"/>
    <w:p w:rsidR="007F12D6" w:rsidRPr="007F12D6" w:rsidRDefault="007F12D6" w:rsidP="007F12D6">
      <w:pPr>
        <w:spacing w:line="240" w:lineRule="auto"/>
        <w:rPr>
          <w:rFonts w:ascii="Times New Roman" w:eastAsia="Times New Roman" w:hAnsi="Times New Roman" w:cs="Times New Roman"/>
          <w:sz w:val="22"/>
          <w:szCs w:val="22"/>
        </w:rPr>
      </w:pPr>
      <w:r w:rsidRPr="007F12D6">
        <w:rPr>
          <w:rFonts w:ascii="Calibri" w:eastAsia="Times New Roman" w:hAnsi="Calibri" w:cs="Times New Roman"/>
          <w:color w:val="000000"/>
          <w:sz w:val="22"/>
          <w:szCs w:val="22"/>
        </w:rPr>
        <w:t xml:space="preserve">Monitors will assess passive recruitment on all sites where rapid monitoring is being performed, which includes sites that have undergone restoration activities or are planned for restoration. Monitoring is performed by a team of 2 people. Monitors will walk through the entirety of a site and count the species in the thresholds (coyote willow, cottonwoods, box elder, etc.) as they move through the site. If a </w:t>
      </w:r>
      <w:r w:rsidRPr="007F12D6">
        <w:rPr>
          <w:rFonts w:ascii="Calibri" w:eastAsia="Times New Roman" w:hAnsi="Calibri" w:cs="Times New Roman"/>
          <w:color w:val="000000"/>
          <w:sz w:val="22"/>
          <w:szCs w:val="22"/>
        </w:rPr>
        <w:lastRenderedPageBreak/>
        <w:t>threshold is reached for a species, monitors can stop counting that species and record &gt;100, &gt;20, etc. based on the threshold level for that species. </w:t>
      </w:r>
    </w:p>
    <w:p w:rsidR="007F12D6" w:rsidRPr="00496066" w:rsidRDefault="007F12D6" w:rsidP="00496066">
      <w:pPr>
        <w:spacing w:line="240" w:lineRule="auto"/>
        <w:rPr>
          <w:rFonts w:ascii="Times New Roman" w:eastAsia="Times New Roman" w:hAnsi="Times New Roman" w:cs="Times New Roman"/>
          <w:sz w:val="22"/>
          <w:szCs w:val="22"/>
        </w:rPr>
      </w:pPr>
      <w:r w:rsidRPr="007F12D6">
        <w:rPr>
          <w:rFonts w:ascii="Calibri" w:eastAsia="Times New Roman" w:hAnsi="Calibri" w:cs="Times New Roman"/>
          <w:color w:val="000000"/>
          <w:sz w:val="22"/>
          <w:szCs w:val="22"/>
        </w:rPr>
        <w:t xml:space="preserve">Monitors will collect passive recruitment data in Arc Collector by dropping a point within each site and filling out the associated data form. The data is then used to inform the Evidence of Passive Recruitment attribute in the Rapid Monitoring protocol. If a site meets one of the passive recruitment thresholds, then monitors mark “YES” for Evidence of Passive Recruitment. If no passive recruitment threshold is met, monitors mark “No” for Evidence of Passive Recruitment. </w:t>
      </w:r>
    </w:p>
    <w:p w:rsidR="00286C56" w:rsidRDefault="00286C56" w:rsidP="00E82551">
      <w:pPr>
        <w:pStyle w:val="Heading2"/>
        <w:numPr>
          <w:ilvl w:val="0"/>
          <w:numId w:val="17"/>
        </w:numPr>
        <w:rPr>
          <w:u w:val="single"/>
        </w:rPr>
      </w:pPr>
      <w:r w:rsidRPr="00E82551">
        <w:rPr>
          <w:u w:val="single"/>
        </w:rPr>
        <w:t>Photo Points</w:t>
      </w:r>
    </w:p>
    <w:p w:rsidR="00E82551" w:rsidRPr="00E82551" w:rsidRDefault="00E82551" w:rsidP="00E82551"/>
    <w:p w:rsidR="00286C56" w:rsidRPr="007F12D6" w:rsidRDefault="00286C56" w:rsidP="00286C56">
      <w:pPr>
        <w:rPr>
          <w:sz w:val="22"/>
          <w:szCs w:val="22"/>
        </w:rPr>
      </w:pPr>
      <w:r w:rsidRPr="007F12D6">
        <w:rPr>
          <w:sz w:val="22"/>
          <w:szCs w:val="22"/>
        </w:rPr>
        <w:t>For each site, at least two photo points will be established</w:t>
      </w:r>
      <w:r w:rsidR="007F12D6" w:rsidRPr="007F12D6">
        <w:rPr>
          <w:sz w:val="22"/>
          <w:szCs w:val="22"/>
        </w:rPr>
        <w:t>. The following guidelines wi</w:t>
      </w:r>
      <w:r w:rsidR="007F12D6">
        <w:rPr>
          <w:sz w:val="22"/>
          <w:szCs w:val="22"/>
        </w:rPr>
        <w:t>l</w:t>
      </w:r>
      <w:r w:rsidR="007F12D6" w:rsidRPr="007F12D6">
        <w:rPr>
          <w:sz w:val="22"/>
          <w:szCs w:val="22"/>
        </w:rPr>
        <w:t xml:space="preserve">l be </w:t>
      </w:r>
      <w:r w:rsidR="001B75F0">
        <w:rPr>
          <w:sz w:val="22"/>
          <w:szCs w:val="22"/>
        </w:rPr>
        <w:t>followed</w:t>
      </w:r>
      <w:r w:rsidR="007F12D6" w:rsidRPr="007F12D6">
        <w:rPr>
          <w:sz w:val="22"/>
          <w:szCs w:val="22"/>
        </w:rPr>
        <w:t xml:space="preserve">: </w:t>
      </w:r>
    </w:p>
    <w:p w:rsidR="007F12D6" w:rsidRPr="007F12D6" w:rsidRDefault="007F12D6" w:rsidP="007F12D6">
      <w:pPr>
        <w:spacing w:line="240" w:lineRule="auto"/>
        <w:rPr>
          <w:rFonts w:ascii="Times New Roman" w:eastAsia="Times New Roman" w:hAnsi="Times New Roman" w:cs="Times New Roman"/>
          <w:sz w:val="22"/>
          <w:szCs w:val="22"/>
        </w:rPr>
      </w:pPr>
      <w:r w:rsidRPr="007F12D6">
        <w:rPr>
          <w:rFonts w:ascii="Calibri" w:eastAsia="Times New Roman" w:hAnsi="Calibri" w:cs="Times New Roman"/>
          <w:color w:val="000000"/>
          <w:sz w:val="22"/>
          <w:szCs w:val="22"/>
        </w:rPr>
        <w:t xml:space="preserve">Photo-points are taken for every monitored site every </w:t>
      </w:r>
      <w:r>
        <w:rPr>
          <w:rFonts w:ascii="Calibri" w:eastAsia="Times New Roman" w:hAnsi="Calibri" w:cs="Times New Roman"/>
          <w:color w:val="000000"/>
          <w:sz w:val="22"/>
          <w:szCs w:val="22"/>
        </w:rPr>
        <w:t>two-</w:t>
      </w:r>
      <w:r w:rsidRPr="007F12D6">
        <w:rPr>
          <w:rFonts w:ascii="Calibri" w:eastAsia="Times New Roman" w:hAnsi="Calibri" w:cs="Times New Roman"/>
          <w:color w:val="000000"/>
          <w:sz w:val="22"/>
          <w:szCs w:val="22"/>
        </w:rPr>
        <w:t>three years as part of rapid monitoring.</w:t>
      </w:r>
    </w:p>
    <w:p w:rsidR="007F12D6" w:rsidRPr="007F12D6" w:rsidRDefault="007F12D6" w:rsidP="007F12D6">
      <w:pPr>
        <w:spacing w:line="240" w:lineRule="auto"/>
        <w:rPr>
          <w:rFonts w:ascii="Times New Roman" w:eastAsia="Times New Roman" w:hAnsi="Times New Roman" w:cs="Times New Roman"/>
          <w:sz w:val="22"/>
          <w:szCs w:val="22"/>
        </w:rPr>
      </w:pPr>
      <w:r w:rsidRPr="007F12D6">
        <w:rPr>
          <w:rFonts w:ascii="Calibri" w:eastAsia="Times New Roman" w:hAnsi="Calibri" w:cs="Times New Roman"/>
          <w:color w:val="000000"/>
          <w:sz w:val="22"/>
          <w:szCs w:val="22"/>
        </w:rPr>
        <w:t>Monitors will use GIS enabled tablets with Arc Collector or Arc Field Maps. Photo-points are collected using a photo-point feature class with the following attributes:</w:t>
      </w:r>
    </w:p>
    <w:p w:rsidR="007F12D6" w:rsidRPr="007F12D6" w:rsidRDefault="007F12D6" w:rsidP="007F12D6">
      <w:pPr>
        <w:numPr>
          <w:ilvl w:val="0"/>
          <w:numId w:val="10"/>
        </w:numPr>
        <w:spacing w:after="0" w:line="240" w:lineRule="auto"/>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Date</w:t>
      </w:r>
    </w:p>
    <w:p w:rsidR="007F12D6" w:rsidRPr="007F12D6" w:rsidRDefault="007F12D6" w:rsidP="007F12D6">
      <w:pPr>
        <w:numPr>
          <w:ilvl w:val="0"/>
          <w:numId w:val="10"/>
        </w:numPr>
        <w:spacing w:after="0" w:line="240" w:lineRule="auto"/>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Names of Data Collectors</w:t>
      </w:r>
    </w:p>
    <w:p w:rsidR="007F12D6" w:rsidRPr="007F12D6" w:rsidRDefault="007F12D6" w:rsidP="007F12D6">
      <w:pPr>
        <w:numPr>
          <w:ilvl w:val="0"/>
          <w:numId w:val="10"/>
        </w:numPr>
        <w:spacing w:after="0" w:line="240" w:lineRule="auto"/>
        <w:textAlignment w:val="baseline"/>
        <w:rPr>
          <w:rFonts w:ascii="Calibri" w:eastAsia="Times New Roman" w:hAnsi="Calibri" w:cs="Times New Roman"/>
          <w:color w:val="000000"/>
          <w:sz w:val="22"/>
          <w:szCs w:val="22"/>
        </w:rPr>
      </w:pPr>
      <w:proofErr w:type="spellStart"/>
      <w:r w:rsidRPr="007F12D6">
        <w:rPr>
          <w:rFonts w:ascii="Calibri" w:eastAsia="Times New Roman" w:hAnsi="Calibri" w:cs="Times New Roman"/>
          <w:color w:val="000000"/>
          <w:sz w:val="22"/>
          <w:szCs w:val="22"/>
        </w:rPr>
        <w:t>Photo_Point_Name</w:t>
      </w:r>
      <w:proofErr w:type="spellEnd"/>
    </w:p>
    <w:p w:rsidR="007F12D6" w:rsidRPr="007F12D6" w:rsidRDefault="007F12D6" w:rsidP="007F12D6">
      <w:pPr>
        <w:numPr>
          <w:ilvl w:val="0"/>
          <w:numId w:val="10"/>
        </w:numPr>
        <w:spacing w:after="0" w:line="240" w:lineRule="auto"/>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Datum</w:t>
      </w:r>
    </w:p>
    <w:p w:rsidR="007F12D6" w:rsidRPr="007F12D6" w:rsidRDefault="007F12D6" w:rsidP="007F12D6">
      <w:pPr>
        <w:numPr>
          <w:ilvl w:val="0"/>
          <w:numId w:val="10"/>
        </w:numPr>
        <w:spacing w:after="0" w:line="240" w:lineRule="auto"/>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Time</w:t>
      </w:r>
    </w:p>
    <w:p w:rsidR="007F12D6" w:rsidRPr="007F12D6" w:rsidRDefault="007F12D6" w:rsidP="007F12D6">
      <w:pPr>
        <w:numPr>
          <w:ilvl w:val="0"/>
          <w:numId w:val="10"/>
        </w:numPr>
        <w:spacing w:after="0" w:line="240" w:lineRule="auto"/>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Bearing</w:t>
      </w:r>
    </w:p>
    <w:p w:rsidR="007F12D6" w:rsidRPr="007F12D6" w:rsidRDefault="007F12D6" w:rsidP="007F12D6">
      <w:pPr>
        <w:numPr>
          <w:ilvl w:val="0"/>
          <w:numId w:val="10"/>
        </w:numPr>
        <w:spacing w:after="0" w:line="240" w:lineRule="auto"/>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Photo ID on Camera</w:t>
      </w:r>
    </w:p>
    <w:p w:rsidR="007F12D6" w:rsidRPr="007F12D6" w:rsidRDefault="007F12D6" w:rsidP="007F12D6">
      <w:pPr>
        <w:numPr>
          <w:ilvl w:val="0"/>
          <w:numId w:val="10"/>
        </w:numPr>
        <w:spacing w:after="0" w:line="240" w:lineRule="auto"/>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Comments</w:t>
      </w:r>
    </w:p>
    <w:p w:rsidR="007F12D6" w:rsidRPr="007F12D6" w:rsidRDefault="007F12D6" w:rsidP="007F12D6">
      <w:pPr>
        <w:numPr>
          <w:ilvl w:val="0"/>
          <w:numId w:val="10"/>
        </w:numPr>
        <w:spacing w:after="0" w:line="240" w:lineRule="auto"/>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GPS Accuracy</w:t>
      </w:r>
    </w:p>
    <w:p w:rsidR="007F12D6" w:rsidRPr="007F12D6" w:rsidRDefault="00496066" w:rsidP="007F12D6">
      <w:pPr>
        <w:numPr>
          <w:ilvl w:val="0"/>
          <w:numId w:val="10"/>
        </w:numPr>
        <w:spacing w:line="240" w:lineRule="auto"/>
        <w:textAlignment w:val="baseline"/>
        <w:rPr>
          <w:rFonts w:ascii="Calibri" w:eastAsia="Times New Roman" w:hAnsi="Calibri" w:cs="Times New Roman"/>
          <w:color w:val="000000"/>
          <w:sz w:val="22"/>
          <w:szCs w:val="22"/>
        </w:rPr>
      </w:pPr>
      <w:r>
        <w:rPr>
          <w:rFonts w:ascii="Calibri" w:eastAsia="Times New Roman" w:hAnsi="Calibri" w:cs="Times New Roman"/>
          <w:color w:val="000000"/>
          <w:sz w:val="22"/>
          <w:szCs w:val="22"/>
        </w:rPr>
        <w:t>DRC ID</w:t>
      </w:r>
    </w:p>
    <w:p w:rsidR="007F12D6" w:rsidRPr="007F12D6" w:rsidRDefault="007F12D6" w:rsidP="007F12D6">
      <w:pPr>
        <w:spacing w:line="240" w:lineRule="auto"/>
        <w:rPr>
          <w:rFonts w:ascii="Times New Roman" w:eastAsia="Times New Roman" w:hAnsi="Times New Roman" w:cs="Times New Roman"/>
          <w:sz w:val="22"/>
          <w:szCs w:val="22"/>
        </w:rPr>
      </w:pPr>
      <w:r w:rsidRPr="007F12D6">
        <w:rPr>
          <w:rFonts w:ascii="Calibri" w:eastAsia="Times New Roman" w:hAnsi="Calibri" w:cs="Times New Roman"/>
          <w:color w:val="000000"/>
          <w:sz w:val="22"/>
          <w:szCs w:val="22"/>
        </w:rPr>
        <w:t xml:space="preserve">Monitors drop a point at each photo-point, fill out the associated attribute table, and attach the photo to each point. Data is then synced from Collector/Field Maps to </w:t>
      </w:r>
      <w:proofErr w:type="spellStart"/>
      <w:r w:rsidRPr="007F12D6">
        <w:rPr>
          <w:rFonts w:ascii="Calibri" w:eastAsia="Times New Roman" w:hAnsi="Calibri" w:cs="Times New Roman"/>
          <w:color w:val="000000"/>
          <w:sz w:val="22"/>
          <w:szCs w:val="22"/>
        </w:rPr>
        <w:t>ArcOnline</w:t>
      </w:r>
      <w:proofErr w:type="spellEnd"/>
      <w:r w:rsidRPr="007F12D6">
        <w:rPr>
          <w:rFonts w:ascii="Calibri" w:eastAsia="Times New Roman" w:hAnsi="Calibri" w:cs="Times New Roman"/>
          <w:color w:val="000000"/>
          <w:sz w:val="22"/>
          <w:szCs w:val="22"/>
        </w:rPr>
        <w:t>.</w:t>
      </w:r>
    </w:p>
    <w:p w:rsidR="007F12D6" w:rsidRPr="007F12D6" w:rsidRDefault="007F12D6" w:rsidP="007F12D6">
      <w:pPr>
        <w:spacing w:line="240" w:lineRule="auto"/>
        <w:rPr>
          <w:rFonts w:ascii="Times New Roman" w:eastAsia="Times New Roman" w:hAnsi="Times New Roman" w:cs="Times New Roman"/>
          <w:sz w:val="22"/>
          <w:szCs w:val="22"/>
        </w:rPr>
      </w:pPr>
      <w:r w:rsidRPr="007F12D6">
        <w:rPr>
          <w:rFonts w:ascii="Calibri" w:eastAsia="Times New Roman" w:hAnsi="Calibri" w:cs="Times New Roman"/>
          <w:color w:val="000000"/>
          <w:sz w:val="22"/>
          <w:szCs w:val="22"/>
        </w:rPr>
        <w:t>If photo-points already exist for a site, monitors should take another photo at that exact location and try to capture the same area in the photo. </w:t>
      </w:r>
    </w:p>
    <w:p w:rsidR="007F12D6" w:rsidRPr="007F12D6" w:rsidRDefault="00496066" w:rsidP="007F12D6">
      <w:pPr>
        <w:spacing w:line="240" w:lineRule="auto"/>
        <w:rPr>
          <w:rFonts w:ascii="Times New Roman" w:eastAsia="Times New Roman" w:hAnsi="Times New Roman" w:cs="Times New Roman"/>
          <w:sz w:val="22"/>
          <w:szCs w:val="22"/>
        </w:rPr>
      </w:pPr>
      <w:r>
        <w:rPr>
          <w:rFonts w:ascii="Calibri" w:eastAsia="Times New Roman" w:hAnsi="Calibri" w:cs="Times New Roman"/>
          <w:color w:val="000000"/>
          <w:sz w:val="22"/>
          <w:szCs w:val="22"/>
        </w:rPr>
        <w:t>Photos to be taken include:</w:t>
      </w:r>
    </w:p>
    <w:p w:rsidR="007F12D6" w:rsidRPr="007F12D6" w:rsidRDefault="007F12D6" w:rsidP="007F12D6">
      <w:pPr>
        <w:numPr>
          <w:ilvl w:val="0"/>
          <w:numId w:val="11"/>
        </w:numPr>
        <w:spacing w:after="0" w:line="240" w:lineRule="auto"/>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1 Overview photo</w:t>
      </w:r>
    </w:p>
    <w:p w:rsidR="007F12D6" w:rsidRPr="007F12D6" w:rsidRDefault="007F12D6" w:rsidP="007F12D6">
      <w:pPr>
        <w:numPr>
          <w:ilvl w:val="0"/>
          <w:numId w:val="12"/>
        </w:numPr>
        <w:spacing w:after="0" w:line="240" w:lineRule="auto"/>
        <w:ind w:left="1485"/>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Taken from a high point or some vantage point that captures as much of the site as possible</w:t>
      </w:r>
      <w:r w:rsidR="001B75F0">
        <w:rPr>
          <w:rFonts w:ascii="Calibri" w:eastAsia="Times New Roman" w:hAnsi="Calibri" w:cs="Times New Roman"/>
          <w:color w:val="000000"/>
          <w:sz w:val="22"/>
          <w:szCs w:val="22"/>
        </w:rPr>
        <w:t>.</w:t>
      </w:r>
    </w:p>
    <w:p w:rsidR="007F12D6" w:rsidRPr="007F12D6" w:rsidRDefault="007F12D6" w:rsidP="007F12D6">
      <w:pPr>
        <w:numPr>
          <w:ilvl w:val="0"/>
          <w:numId w:val="13"/>
        </w:numPr>
        <w:spacing w:after="0" w:line="240" w:lineRule="auto"/>
        <w:ind w:left="765"/>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 xml:space="preserve">1-2 Photo points to capture future change </w:t>
      </w:r>
      <w:r w:rsidR="00283AEF">
        <w:rPr>
          <w:rFonts w:ascii="Calibri" w:eastAsia="Times New Roman" w:hAnsi="Calibri" w:cs="Times New Roman"/>
          <w:color w:val="000000"/>
          <w:sz w:val="22"/>
          <w:szCs w:val="22"/>
        </w:rPr>
        <w:t>–</w:t>
      </w:r>
      <w:r w:rsidRPr="007F12D6">
        <w:rPr>
          <w:rFonts w:ascii="Calibri" w:eastAsia="Times New Roman" w:hAnsi="Calibri" w:cs="Times New Roman"/>
          <w:color w:val="000000"/>
          <w:sz w:val="22"/>
          <w:szCs w:val="22"/>
        </w:rPr>
        <w:t xml:space="preserve"> focus on treatment areas</w:t>
      </w:r>
      <w:r w:rsidRPr="007F12D6">
        <w:rPr>
          <w:rFonts w:ascii="Calibri" w:eastAsia="Times New Roman" w:hAnsi="Calibri" w:cs="Times New Roman"/>
          <w:color w:val="000000"/>
          <w:sz w:val="22"/>
          <w:szCs w:val="22"/>
        </w:rPr>
        <w:tab/>
      </w:r>
    </w:p>
    <w:p w:rsidR="007F12D6" w:rsidRPr="007F12D6" w:rsidRDefault="007F12D6" w:rsidP="007F12D6">
      <w:pPr>
        <w:numPr>
          <w:ilvl w:val="1"/>
          <w:numId w:val="14"/>
        </w:numPr>
        <w:spacing w:after="0" w:line="240" w:lineRule="auto"/>
        <w:ind w:left="1485"/>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Photos of areas where there is likely to be change in the next few years (i.e. fields of R knapweed that might get treated, a field of native grass seedlings, a cottonwood sapling that will grow larger, a bank filled with a bunch of new growth tamarisk, etc</w:t>
      </w:r>
      <w:r w:rsidR="002E1C9E">
        <w:rPr>
          <w:rFonts w:ascii="Calibri" w:eastAsia="Times New Roman" w:hAnsi="Calibri" w:cs="Times New Roman"/>
          <w:color w:val="000000"/>
          <w:sz w:val="22"/>
          <w:szCs w:val="22"/>
        </w:rPr>
        <w:t>.</w:t>
      </w:r>
      <w:r w:rsidRPr="007F12D6">
        <w:rPr>
          <w:rFonts w:ascii="Calibri" w:eastAsia="Times New Roman" w:hAnsi="Calibri" w:cs="Times New Roman"/>
          <w:color w:val="000000"/>
          <w:sz w:val="22"/>
          <w:szCs w:val="22"/>
        </w:rPr>
        <w:t xml:space="preserve">) – think about what </w:t>
      </w:r>
      <w:r w:rsidR="001B75F0">
        <w:rPr>
          <w:rFonts w:ascii="Calibri" w:eastAsia="Times New Roman" w:hAnsi="Calibri" w:cs="Times New Roman"/>
          <w:color w:val="000000"/>
          <w:sz w:val="22"/>
          <w:szCs w:val="22"/>
        </w:rPr>
        <w:t xml:space="preserve">species may be treated. </w:t>
      </w:r>
    </w:p>
    <w:p w:rsidR="007F12D6" w:rsidRPr="007F12D6" w:rsidRDefault="007F12D6" w:rsidP="007F12D6">
      <w:pPr>
        <w:numPr>
          <w:ilvl w:val="0"/>
          <w:numId w:val="14"/>
        </w:numPr>
        <w:spacing w:after="0" w:line="240" w:lineRule="auto"/>
        <w:ind w:left="765"/>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1 Picture of an obvious treatment area</w:t>
      </w:r>
      <w:r w:rsidRPr="007F12D6">
        <w:rPr>
          <w:rFonts w:ascii="Calibri" w:eastAsia="Times New Roman" w:hAnsi="Calibri" w:cs="Times New Roman"/>
          <w:color w:val="000000"/>
          <w:sz w:val="22"/>
          <w:szCs w:val="22"/>
        </w:rPr>
        <w:tab/>
      </w:r>
    </w:p>
    <w:p w:rsidR="007F12D6" w:rsidRPr="007F12D6" w:rsidRDefault="007F12D6" w:rsidP="007F12D6">
      <w:pPr>
        <w:numPr>
          <w:ilvl w:val="1"/>
          <w:numId w:val="14"/>
        </w:numPr>
        <w:spacing w:after="0" w:line="240" w:lineRule="auto"/>
        <w:ind w:left="1485"/>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This can overlap with the “photo of change”</w:t>
      </w:r>
    </w:p>
    <w:p w:rsidR="007F12D6" w:rsidRPr="007F12D6" w:rsidRDefault="007F12D6" w:rsidP="007F12D6">
      <w:pPr>
        <w:numPr>
          <w:ilvl w:val="1"/>
          <w:numId w:val="14"/>
        </w:numPr>
        <w:spacing w:line="240" w:lineRule="auto"/>
        <w:ind w:left="1485"/>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Typically</w:t>
      </w:r>
      <w:r w:rsidR="001B75F0">
        <w:rPr>
          <w:rFonts w:ascii="Calibri" w:eastAsia="Times New Roman" w:hAnsi="Calibri" w:cs="Times New Roman"/>
          <w:color w:val="000000"/>
          <w:sz w:val="22"/>
          <w:szCs w:val="22"/>
        </w:rPr>
        <w:t>,</w:t>
      </w:r>
      <w:r>
        <w:rPr>
          <w:rFonts w:ascii="Calibri" w:eastAsia="Times New Roman" w:hAnsi="Calibri" w:cs="Times New Roman"/>
          <w:color w:val="000000"/>
          <w:sz w:val="22"/>
          <w:szCs w:val="22"/>
        </w:rPr>
        <w:t xml:space="preserve"> the photo will be</w:t>
      </w:r>
      <w:r w:rsidRPr="007F12D6">
        <w:rPr>
          <w:rFonts w:ascii="Calibri" w:eastAsia="Times New Roman" w:hAnsi="Calibri" w:cs="Times New Roman"/>
          <w:color w:val="000000"/>
          <w:sz w:val="22"/>
          <w:szCs w:val="22"/>
        </w:rPr>
        <w:t xml:space="preserve"> of</w:t>
      </w:r>
      <w:r>
        <w:rPr>
          <w:rFonts w:ascii="Calibri" w:eastAsia="Times New Roman" w:hAnsi="Calibri" w:cs="Times New Roman"/>
          <w:color w:val="000000"/>
          <w:sz w:val="22"/>
          <w:szCs w:val="22"/>
        </w:rPr>
        <w:t xml:space="preserve"> a</w:t>
      </w:r>
      <w:r w:rsidRPr="007F12D6">
        <w:rPr>
          <w:rFonts w:ascii="Calibri" w:eastAsia="Times New Roman" w:hAnsi="Calibri" w:cs="Times New Roman"/>
          <w:color w:val="000000"/>
          <w:sz w:val="22"/>
          <w:szCs w:val="22"/>
        </w:rPr>
        <w:t xml:space="preserve"> tamarisk </w:t>
      </w:r>
      <w:r>
        <w:rPr>
          <w:rFonts w:ascii="Calibri" w:eastAsia="Times New Roman" w:hAnsi="Calibri" w:cs="Times New Roman"/>
          <w:color w:val="000000"/>
          <w:sz w:val="22"/>
          <w:szCs w:val="22"/>
        </w:rPr>
        <w:t xml:space="preserve">or Russian olive </w:t>
      </w:r>
      <w:r w:rsidRPr="007F12D6">
        <w:rPr>
          <w:rFonts w:ascii="Calibri" w:eastAsia="Times New Roman" w:hAnsi="Calibri" w:cs="Times New Roman"/>
          <w:color w:val="000000"/>
          <w:sz w:val="22"/>
          <w:szCs w:val="22"/>
        </w:rPr>
        <w:t>treatment area (stumps and possible re-sprouts) or a patch of tamarisk</w:t>
      </w:r>
      <w:r>
        <w:rPr>
          <w:rFonts w:ascii="Calibri" w:eastAsia="Times New Roman" w:hAnsi="Calibri" w:cs="Times New Roman"/>
          <w:color w:val="000000"/>
          <w:sz w:val="22"/>
          <w:szCs w:val="22"/>
        </w:rPr>
        <w:t>/Russian olive</w:t>
      </w:r>
      <w:r w:rsidRPr="007F12D6">
        <w:rPr>
          <w:rFonts w:ascii="Calibri" w:eastAsia="Times New Roman" w:hAnsi="Calibri" w:cs="Times New Roman"/>
          <w:color w:val="000000"/>
          <w:sz w:val="22"/>
          <w:szCs w:val="22"/>
        </w:rPr>
        <w:t xml:space="preserve"> yet to be treated. Photo can </w:t>
      </w:r>
      <w:r w:rsidRPr="007F12D6">
        <w:rPr>
          <w:rFonts w:ascii="Calibri" w:eastAsia="Times New Roman" w:hAnsi="Calibri" w:cs="Times New Roman"/>
          <w:color w:val="000000"/>
          <w:sz w:val="22"/>
          <w:szCs w:val="22"/>
        </w:rPr>
        <w:lastRenderedPageBreak/>
        <w:t>also be of secondary weeds or Russian olive/Siberian Elm treatment</w:t>
      </w:r>
      <w:r>
        <w:rPr>
          <w:rFonts w:ascii="Calibri" w:eastAsia="Times New Roman" w:hAnsi="Calibri" w:cs="Times New Roman"/>
          <w:color w:val="000000"/>
          <w:sz w:val="22"/>
          <w:szCs w:val="22"/>
        </w:rPr>
        <w:t xml:space="preserve"> if dominant treatment on-site. </w:t>
      </w:r>
    </w:p>
    <w:p w:rsidR="007F12D6" w:rsidRPr="007F12D6" w:rsidRDefault="007F12D6" w:rsidP="007F12D6">
      <w:pPr>
        <w:spacing w:line="240" w:lineRule="auto"/>
        <w:rPr>
          <w:rFonts w:ascii="Times New Roman" w:eastAsia="Times New Roman" w:hAnsi="Times New Roman" w:cs="Times New Roman"/>
          <w:sz w:val="22"/>
          <w:szCs w:val="22"/>
          <w:u w:val="single"/>
        </w:rPr>
      </w:pPr>
      <w:r w:rsidRPr="007F12D6">
        <w:rPr>
          <w:rFonts w:ascii="Calibri" w:eastAsia="Times New Roman" w:hAnsi="Calibri" w:cs="Times New Roman"/>
          <w:color w:val="000000"/>
          <w:sz w:val="22"/>
          <w:szCs w:val="22"/>
          <w:u w:val="single"/>
        </w:rPr>
        <w:t>Overall guidelines</w:t>
      </w:r>
      <w:r>
        <w:rPr>
          <w:rFonts w:ascii="Calibri" w:eastAsia="Times New Roman" w:hAnsi="Calibri" w:cs="Times New Roman"/>
          <w:color w:val="000000"/>
          <w:sz w:val="22"/>
          <w:szCs w:val="22"/>
          <w:u w:val="single"/>
        </w:rPr>
        <w:t>:</w:t>
      </w:r>
    </w:p>
    <w:p w:rsidR="007F12D6" w:rsidRPr="007F12D6" w:rsidRDefault="007F12D6" w:rsidP="007F12D6">
      <w:pPr>
        <w:numPr>
          <w:ilvl w:val="0"/>
          <w:numId w:val="15"/>
        </w:numPr>
        <w:spacing w:after="0" w:line="240" w:lineRule="auto"/>
        <w:ind w:left="765"/>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 xml:space="preserve">There should be an </w:t>
      </w:r>
      <w:r w:rsidRPr="007F12D6">
        <w:rPr>
          <w:rFonts w:ascii="Calibri" w:eastAsia="Times New Roman" w:hAnsi="Calibri" w:cs="Times New Roman"/>
          <w:b/>
          <w:bCs/>
          <w:color w:val="000000"/>
          <w:sz w:val="22"/>
          <w:szCs w:val="22"/>
        </w:rPr>
        <w:t>anchor in every photo</w:t>
      </w:r>
      <w:r w:rsidRPr="007F12D6">
        <w:rPr>
          <w:rFonts w:ascii="Calibri" w:eastAsia="Times New Roman" w:hAnsi="Calibri" w:cs="Times New Roman"/>
          <w:color w:val="000000"/>
          <w:sz w:val="22"/>
          <w:szCs w:val="22"/>
        </w:rPr>
        <w:t xml:space="preserve"> so that monitors have something to line up future photos with</w:t>
      </w:r>
    </w:p>
    <w:p w:rsidR="007F12D6" w:rsidRPr="007F12D6" w:rsidRDefault="007F12D6" w:rsidP="007F12D6">
      <w:pPr>
        <w:numPr>
          <w:ilvl w:val="1"/>
          <w:numId w:val="16"/>
        </w:numPr>
        <w:spacing w:after="0" w:line="240" w:lineRule="auto"/>
        <w:ind w:left="1485"/>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Good anchors: Ridgelines, large boulders, canyon walls </w:t>
      </w:r>
    </w:p>
    <w:p w:rsidR="007F12D6" w:rsidRPr="007F12D6" w:rsidRDefault="007F12D6" w:rsidP="007F12D6">
      <w:pPr>
        <w:numPr>
          <w:ilvl w:val="1"/>
          <w:numId w:val="16"/>
        </w:numPr>
        <w:spacing w:after="0" w:line="240" w:lineRule="auto"/>
        <w:ind w:left="1485"/>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Bad anchors: trees, vegetation, the river/riverbank (</w:t>
      </w:r>
      <w:r>
        <w:rPr>
          <w:rFonts w:ascii="Calibri" w:eastAsia="Times New Roman" w:hAnsi="Calibri" w:cs="Times New Roman"/>
          <w:color w:val="000000"/>
          <w:sz w:val="22"/>
          <w:szCs w:val="22"/>
        </w:rPr>
        <w:t>i.e.,</w:t>
      </w:r>
      <w:r w:rsidRPr="007F12D6">
        <w:rPr>
          <w:rFonts w:ascii="Calibri" w:eastAsia="Times New Roman" w:hAnsi="Calibri" w:cs="Times New Roman"/>
          <w:color w:val="000000"/>
          <w:sz w:val="22"/>
          <w:szCs w:val="22"/>
        </w:rPr>
        <w:t xml:space="preserve"> things that </w:t>
      </w:r>
      <w:r w:rsidRPr="007F12D6">
        <w:rPr>
          <w:rFonts w:ascii="Calibri" w:eastAsia="Times New Roman" w:hAnsi="Calibri" w:cs="Times New Roman"/>
          <w:i/>
          <w:iCs/>
          <w:color w:val="000000"/>
          <w:sz w:val="22"/>
          <w:szCs w:val="22"/>
        </w:rPr>
        <w:t>change</w:t>
      </w:r>
      <w:r w:rsidRPr="007F12D6">
        <w:rPr>
          <w:rFonts w:ascii="Calibri" w:eastAsia="Times New Roman" w:hAnsi="Calibri" w:cs="Times New Roman"/>
          <w:color w:val="000000"/>
          <w:sz w:val="22"/>
          <w:szCs w:val="22"/>
        </w:rPr>
        <w:t>)</w:t>
      </w:r>
    </w:p>
    <w:p w:rsidR="007F12D6" w:rsidRDefault="007F12D6" w:rsidP="007F12D6">
      <w:pPr>
        <w:numPr>
          <w:ilvl w:val="0"/>
          <w:numId w:val="16"/>
        </w:numPr>
        <w:spacing w:line="240" w:lineRule="auto"/>
        <w:ind w:left="765"/>
        <w:textAlignment w:val="baseline"/>
        <w:rPr>
          <w:rFonts w:ascii="Calibri" w:eastAsia="Times New Roman" w:hAnsi="Calibri" w:cs="Times New Roman"/>
          <w:color w:val="000000"/>
          <w:sz w:val="22"/>
          <w:szCs w:val="22"/>
        </w:rPr>
      </w:pPr>
      <w:r w:rsidRPr="007F12D6">
        <w:rPr>
          <w:rFonts w:ascii="Calibri" w:eastAsia="Times New Roman" w:hAnsi="Calibri" w:cs="Times New Roman"/>
          <w:color w:val="000000"/>
          <w:sz w:val="22"/>
          <w:szCs w:val="22"/>
        </w:rPr>
        <w:t xml:space="preserve">Think of future monitors – don’t make the points too hard to get to. </w:t>
      </w:r>
      <w:r>
        <w:rPr>
          <w:rFonts w:ascii="Calibri" w:eastAsia="Times New Roman" w:hAnsi="Calibri" w:cs="Times New Roman"/>
          <w:color w:val="000000"/>
          <w:sz w:val="22"/>
          <w:szCs w:val="22"/>
        </w:rPr>
        <w:t>(</w:t>
      </w:r>
      <w:r w:rsidRPr="007F12D6">
        <w:rPr>
          <w:rFonts w:ascii="Calibri" w:eastAsia="Times New Roman" w:hAnsi="Calibri" w:cs="Times New Roman"/>
          <w:color w:val="000000"/>
          <w:sz w:val="22"/>
          <w:szCs w:val="22"/>
        </w:rPr>
        <w:t>Not everyone is comfortable climbing boulders</w:t>
      </w:r>
      <w:r>
        <w:rPr>
          <w:rFonts w:ascii="Calibri" w:eastAsia="Times New Roman" w:hAnsi="Calibri" w:cs="Times New Roman"/>
          <w:color w:val="000000"/>
          <w:sz w:val="22"/>
          <w:szCs w:val="22"/>
        </w:rPr>
        <w:t>.)</w:t>
      </w:r>
    </w:p>
    <w:p w:rsidR="00E4259E" w:rsidRDefault="00E4259E" w:rsidP="00E4259E">
      <w:pPr>
        <w:keepNext/>
        <w:spacing w:line="240" w:lineRule="auto"/>
        <w:jc w:val="center"/>
        <w:textAlignment w:val="baseline"/>
      </w:pPr>
      <w:r w:rsidRPr="00E4259E">
        <w:rPr>
          <w:rFonts w:ascii="Calibri" w:eastAsia="Times New Roman" w:hAnsi="Calibri" w:cs="Times New Roman"/>
          <w:noProof/>
          <w:color w:val="000000"/>
          <w:sz w:val="22"/>
          <w:szCs w:val="22"/>
        </w:rPr>
        <w:drawing>
          <wp:inline distT="0" distB="0" distL="0" distR="0" wp14:anchorId="7F5870E4" wp14:editId="5222DA1E">
            <wp:extent cx="3457575" cy="2622101"/>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4848" cy="2627616"/>
                    </a:xfrm>
                    <a:prstGeom prst="rect">
                      <a:avLst/>
                    </a:prstGeom>
                  </pic:spPr>
                </pic:pic>
              </a:graphicData>
            </a:graphic>
          </wp:inline>
        </w:drawing>
      </w:r>
    </w:p>
    <w:p w:rsidR="00E4259E" w:rsidRDefault="00E4259E" w:rsidP="00E4259E">
      <w:pPr>
        <w:pStyle w:val="Caption"/>
        <w:jc w:val="center"/>
        <w:rPr>
          <w:rFonts w:ascii="Calibri" w:eastAsia="Times New Roman" w:hAnsi="Calibri" w:cs="Times New Roman"/>
          <w:color w:val="000000"/>
          <w:sz w:val="22"/>
          <w:szCs w:val="22"/>
        </w:rPr>
      </w:pPr>
      <w:r>
        <w:t>Figure 4. Phot points attribute table</w:t>
      </w:r>
    </w:p>
    <w:p w:rsidR="001D26AC" w:rsidRDefault="001D26AC" w:rsidP="00E4259E">
      <w:pPr>
        <w:pStyle w:val="Heading1"/>
        <w:numPr>
          <w:ilvl w:val="0"/>
          <w:numId w:val="17"/>
        </w:numPr>
        <w:rPr>
          <w:rFonts w:eastAsia="Times New Roman"/>
          <w:sz w:val="28"/>
          <w:szCs w:val="28"/>
        </w:rPr>
      </w:pPr>
      <w:r w:rsidRPr="00E4259E">
        <w:rPr>
          <w:rFonts w:eastAsia="Times New Roman"/>
          <w:sz w:val="28"/>
          <w:szCs w:val="28"/>
        </w:rPr>
        <w:t>Training and Monitoring Intern recruitment:</w:t>
      </w:r>
    </w:p>
    <w:p w:rsidR="00E4259E" w:rsidRPr="00E4259E" w:rsidRDefault="00E4259E" w:rsidP="00E4259E"/>
    <w:p w:rsidR="001D26AC" w:rsidRDefault="001D26AC" w:rsidP="001D26AC">
      <w:r>
        <w:t>RiversEdge West ha</w:t>
      </w:r>
      <w:r w:rsidR="00E4259E">
        <w:t>s procured grant funding from</w:t>
      </w:r>
      <w:r>
        <w:t xml:space="preserve"> Colorado Water Conservation Board grant for two monitoring interns between May 31, 2021-August 2</w:t>
      </w:r>
      <w:r w:rsidRPr="001D26AC">
        <w:rPr>
          <w:vertAlign w:val="superscript"/>
        </w:rPr>
        <w:t>nd</w:t>
      </w:r>
      <w:r>
        <w:t xml:space="preserve"> 2021. Western Colorado Conservation Corps is hiring the team and will provide the infrastructure and training for employment and be co-managed by RiversEdge West. </w:t>
      </w:r>
    </w:p>
    <w:p w:rsidR="001D26AC" w:rsidRDefault="001D26AC" w:rsidP="001D26AC">
      <w:r>
        <w:t xml:space="preserve">Training will be coordinated by RiversEdge West in conjunction with Conservation Legacy, Western Colorado Conservation Corps (WCCC), and Mesa County. The 2-person crew will receive chainsaw and herbicide training from WCCC and work with Mesa County’s Weed and Pest Coordinator on additional training and projects. </w:t>
      </w:r>
      <w:r w:rsidR="00E4259E">
        <w:t xml:space="preserve">RiversEdge West will train the team in plant identification, provide education on common restoration methods, and intensive training on the monitoring protocol. </w:t>
      </w:r>
    </w:p>
    <w:p w:rsidR="001D26AC" w:rsidRPr="00C02A02" w:rsidRDefault="001D26AC" w:rsidP="001D26AC">
      <w:r>
        <w:t>About 85% of the intern’s time will be centered on monitoring sites along the Colorado, Gunnison, and other rivers in the Desert Rivers Collaborative area</w:t>
      </w:r>
      <w:r w:rsidR="000C27D2">
        <w:t xml:space="preserve"> and on the Dolores River. It is estimated that two sites will be monitored each day. </w:t>
      </w:r>
      <w:r>
        <w:t xml:space="preserve">There is also an opportunity for the interns to work with partners on projects to gain </w:t>
      </w:r>
      <w:r>
        <w:lastRenderedPageBreak/>
        <w:t xml:space="preserve">experience in the area such as invasive species removal, herbicide application, active revegetation, trainings, </w:t>
      </w:r>
      <w:r w:rsidRPr="00C02A02">
        <w:t xml:space="preserve">monitoring and other needs. </w:t>
      </w:r>
    </w:p>
    <w:p w:rsidR="001D26AC" w:rsidRPr="001D26AC" w:rsidRDefault="001D26AC" w:rsidP="001D26AC">
      <w:r w:rsidRPr="00C02A02">
        <w:t>Please work with Rica Fulton (rfulton@riversedgewest.org) if you have a project you would like help on in the time the interns will be employed.</w:t>
      </w:r>
      <w:r>
        <w:t xml:space="preserve"> </w:t>
      </w:r>
    </w:p>
    <w:p w:rsidR="000C27D2" w:rsidRDefault="001D26AC" w:rsidP="00496066">
      <w:pPr>
        <w:pStyle w:val="Heading1"/>
        <w:rPr>
          <w:rFonts w:eastAsia="Times New Roman"/>
          <w:sz w:val="24"/>
          <w:szCs w:val="24"/>
        </w:rPr>
      </w:pPr>
      <w:r>
        <w:rPr>
          <w:rFonts w:eastAsia="Times New Roman"/>
          <w:sz w:val="24"/>
          <w:szCs w:val="24"/>
        </w:rPr>
        <w:t>Sites to be monitored</w:t>
      </w:r>
    </w:p>
    <w:p w:rsidR="00496066" w:rsidRPr="00496066" w:rsidRDefault="00496066" w:rsidP="00496066">
      <w:r>
        <w:t xml:space="preserve">Sites will be subsequently broken down into multiple monitoring polygons of under 20 acres based on the timing of past treatments, planned treatments, or other criteria as delineated by REW and land managers. </w:t>
      </w:r>
    </w:p>
    <w:tbl>
      <w:tblPr>
        <w:tblW w:w="6799" w:type="dxa"/>
        <w:tblCellMar>
          <w:left w:w="0" w:type="dxa"/>
          <w:right w:w="0" w:type="dxa"/>
        </w:tblCellMar>
        <w:tblLook w:val="04A0" w:firstRow="1" w:lastRow="0" w:firstColumn="1" w:lastColumn="0" w:noHBand="0" w:noVBand="1"/>
      </w:tblPr>
      <w:tblGrid>
        <w:gridCol w:w="5337"/>
        <w:gridCol w:w="1462"/>
      </w:tblGrid>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b/>
                <w:bCs/>
                <w:sz w:val="20"/>
                <w:szCs w:val="20"/>
              </w:rPr>
            </w:pPr>
            <w:r w:rsidRPr="000C27D2">
              <w:rPr>
                <w:rFonts w:eastAsia="Times New Roman" w:cs="Arial"/>
                <w:b/>
                <w:bCs/>
                <w:sz w:val="20"/>
                <w:szCs w:val="20"/>
              </w:rPr>
              <w:t xml:space="preserve">Site Name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b/>
                <w:bCs/>
                <w:sz w:val="20"/>
                <w:szCs w:val="20"/>
              </w:rPr>
            </w:pPr>
            <w:r w:rsidRPr="000C27D2">
              <w:rPr>
                <w:rFonts w:eastAsia="Times New Roman" w:cs="Arial"/>
                <w:b/>
                <w:bCs/>
                <w:sz w:val="20"/>
                <w:szCs w:val="20"/>
              </w:rPr>
              <w:t>Landowner</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Cameo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BOR</w:t>
            </w:r>
          </w:p>
        </w:tc>
      </w:tr>
      <w:tr w:rsidR="00283AEF"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283AEF" w:rsidRPr="000C27D2" w:rsidRDefault="00283AEF" w:rsidP="000C27D2">
            <w:pPr>
              <w:spacing w:after="0" w:line="240" w:lineRule="auto"/>
              <w:rPr>
                <w:rFonts w:eastAsia="Times New Roman" w:cs="Arial"/>
                <w:sz w:val="20"/>
                <w:szCs w:val="20"/>
              </w:rPr>
            </w:pPr>
            <w:r>
              <w:rPr>
                <w:rFonts w:eastAsia="Times New Roman" w:cs="Arial"/>
                <w:sz w:val="20"/>
                <w:szCs w:val="20"/>
              </w:rPr>
              <w:t xml:space="preserve">Island Acres Section – James M. Robb Co River State Park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283AEF" w:rsidRPr="000C27D2" w:rsidRDefault="00283AEF" w:rsidP="000C27D2">
            <w:pPr>
              <w:spacing w:after="0" w:line="240" w:lineRule="auto"/>
              <w:rPr>
                <w:rFonts w:eastAsia="Times New Roman" w:cs="Arial"/>
                <w:sz w:val="20"/>
                <w:szCs w:val="20"/>
              </w:rPr>
            </w:pPr>
            <w:r>
              <w:rPr>
                <w:rFonts w:eastAsia="Times New Roman" w:cs="Arial"/>
                <w:sz w:val="20"/>
                <w:szCs w:val="20"/>
              </w:rPr>
              <w:t>CPW</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Colorado River in Palisade near Hwy. 6 bridge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Palisade/CDOT</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Riverbend Park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Palisade</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Tillie Bishop SWA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CPW</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29 Rd. </w:t>
            </w:r>
            <w:r w:rsidR="00E4259E">
              <w:rPr>
                <w:rFonts w:eastAsia="Times New Roman" w:cs="Arial"/>
                <w:sz w:val="20"/>
                <w:szCs w:val="20"/>
              </w:rPr>
              <w:t>–</w:t>
            </w:r>
            <w:r w:rsidRPr="000C27D2">
              <w:rPr>
                <w:rFonts w:eastAsia="Times New Roman" w:cs="Arial"/>
                <w:sz w:val="20"/>
                <w:szCs w:val="20"/>
              </w:rPr>
              <w:t xml:space="preserve"> Pear Park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CPW</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Cottonwood HOA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HOA</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Colorado River Wildlife Area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BOR</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Las </w:t>
            </w:r>
            <w:proofErr w:type="spellStart"/>
            <w:r w:rsidRPr="000C27D2">
              <w:rPr>
                <w:rFonts w:eastAsia="Times New Roman" w:cs="Arial"/>
                <w:sz w:val="20"/>
                <w:szCs w:val="20"/>
              </w:rPr>
              <w:t>Colonias</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City of GJ</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Watson Island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City of GJ </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Connected Lakes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CPW </w:t>
            </w:r>
          </w:p>
        </w:tc>
      </w:tr>
      <w:tr w:rsidR="00892291"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892291" w:rsidRPr="000C27D2" w:rsidRDefault="001B75F0" w:rsidP="000C27D2">
            <w:pPr>
              <w:spacing w:after="0" w:line="240" w:lineRule="auto"/>
              <w:rPr>
                <w:rFonts w:eastAsia="Times New Roman" w:cs="Arial"/>
                <w:sz w:val="20"/>
                <w:szCs w:val="20"/>
              </w:rPr>
            </w:pPr>
            <w:r>
              <w:rPr>
                <w:rFonts w:eastAsia="Times New Roman" w:cs="Arial"/>
                <w:sz w:val="20"/>
                <w:szCs w:val="20"/>
              </w:rPr>
              <w:t xml:space="preserve">Audubon River 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892291" w:rsidRPr="000C27D2" w:rsidRDefault="001B75F0" w:rsidP="000C27D2">
            <w:pPr>
              <w:spacing w:after="0" w:line="240" w:lineRule="auto"/>
              <w:rPr>
                <w:rFonts w:eastAsia="Times New Roman" w:cs="Arial"/>
                <w:sz w:val="20"/>
                <w:szCs w:val="20"/>
              </w:rPr>
            </w:pPr>
            <w:r>
              <w:rPr>
                <w:rFonts w:eastAsia="Times New Roman" w:cs="Arial"/>
                <w:sz w:val="20"/>
                <w:szCs w:val="20"/>
              </w:rPr>
              <w:t xml:space="preserve">Audubon Society </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Walter Walker </w:t>
            </w:r>
            <w:r w:rsidR="00892291">
              <w:rPr>
                <w:rFonts w:eastAsia="Times New Roman" w:cs="Arial"/>
                <w:sz w:val="20"/>
                <w:szCs w:val="20"/>
              </w:rPr>
              <w:t>Wildlife Area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CPW </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496066" w:rsidP="000C27D2">
            <w:pPr>
              <w:spacing w:after="0" w:line="240" w:lineRule="auto"/>
              <w:rPr>
                <w:rFonts w:eastAsia="Times New Roman" w:cs="Arial"/>
                <w:sz w:val="20"/>
                <w:szCs w:val="20"/>
              </w:rPr>
            </w:pPr>
            <w:r>
              <w:rPr>
                <w:rFonts w:eastAsia="Times New Roman" w:cs="Arial"/>
                <w:sz w:val="20"/>
                <w:szCs w:val="20"/>
              </w:rPr>
              <w:t>May Flats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496066" w:rsidP="000C27D2">
            <w:pPr>
              <w:spacing w:after="0" w:line="240" w:lineRule="auto"/>
              <w:rPr>
                <w:rFonts w:eastAsia="Times New Roman" w:cs="Arial"/>
                <w:sz w:val="20"/>
                <w:szCs w:val="20"/>
              </w:rPr>
            </w:pPr>
            <w:r>
              <w:rPr>
                <w:rFonts w:eastAsia="Times New Roman" w:cs="Arial"/>
                <w:sz w:val="20"/>
                <w:szCs w:val="20"/>
              </w:rPr>
              <w:t xml:space="preserve">BLM </w:t>
            </w:r>
          </w:p>
        </w:tc>
      </w:tr>
      <w:tr w:rsidR="00496066"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96066" w:rsidRDefault="00496066" w:rsidP="000C27D2">
            <w:pPr>
              <w:spacing w:after="0" w:line="240" w:lineRule="auto"/>
              <w:rPr>
                <w:rFonts w:eastAsia="Times New Roman" w:cs="Arial"/>
                <w:sz w:val="20"/>
                <w:szCs w:val="20"/>
              </w:rPr>
            </w:pPr>
            <w:proofErr w:type="spellStart"/>
            <w:r>
              <w:rPr>
                <w:rFonts w:eastAsia="Times New Roman" w:cs="Arial"/>
                <w:sz w:val="20"/>
                <w:szCs w:val="20"/>
              </w:rPr>
              <w:t>Mee</w:t>
            </w:r>
            <w:proofErr w:type="spellEnd"/>
            <w:r>
              <w:rPr>
                <w:rFonts w:eastAsia="Times New Roman" w:cs="Arial"/>
                <w:sz w:val="20"/>
                <w:szCs w:val="20"/>
              </w:rPr>
              <w:t xml:space="preserve"> Canyon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96066" w:rsidRPr="000C27D2" w:rsidRDefault="00496066" w:rsidP="000C27D2">
            <w:pPr>
              <w:spacing w:after="0" w:line="240" w:lineRule="auto"/>
              <w:rPr>
                <w:rFonts w:eastAsia="Times New Roman" w:cs="Arial"/>
                <w:sz w:val="20"/>
                <w:szCs w:val="20"/>
              </w:rPr>
            </w:pPr>
            <w:r>
              <w:rPr>
                <w:rFonts w:eastAsia="Times New Roman" w:cs="Arial"/>
                <w:sz w:val="20"/>
                <w:szCs w:val="20"/>
              </w:rPr>
              <w:t xml:space="preserve">BLM </w:t>
            </w:r>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Salt Wash </w:t>
            </w:r>
            <w:r w:rsidR="00E4259E">
              <w:rPr>
                <w:rFonts w:eastAsia="Times New Roman" w:cs="Arial"/>
                <w:sz w:val="20"/>
                <w:szCs w:val="20"/>
              </w:rPr>
              <w:t>–</w:t>
            </w:r>
            <w:r w:rsidRPr="000C27D2">
              <w:rPr>
                <w:rFonts w:eastAsia="Times New Roman" w:cs="Arial"/>
                <w:sz w:val="20"/>
                <w:szCs w:val="20"/>
              </w:rPr>
              <w:t xml:space="preserve"> </w:t>
            </w:r>
            <w:proofErr w:type="spellStart"/>
            <w:r w:rsidRPr="000C27D2">
              <w:rPr>
                <w:rFonts w:eastAsia="Times New Roman" w:cs="Arial"/>
                <w:sz w:val="20"/>
                <w:szCs w:val="20"/>
              </w:rPr>
              <w:t>Fruita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E4259E" w:rsidP="000C27D2">
            <w:pPr>
              <w:spacing w:after="0" w:line="240" w:lineRule="auto"/>
              <w:rPr>
                <w:rFonts w:eastAsia="Times New Roman" w:cs="Arial"/>
                <w:sz w:val="20"/>
                <w:szCs w:val="20"/>
              </w:rPr>
            </w:pPr>
            <w:r>
              <w:rPr>
                <w:rFonts w:eastAsia="Times New Roman" w:cs="Arial"/>
                <w:sz w:val="20"/>
                <w:szCs w:val="20"/>
              </w:rPr>
              <w:t xml:space="preserve">City of </w:t>
            </w:r>
            <w:proofErr w:type="spellStart"/>
            <w:r>
              <w:rPr>
                <w:rFonts w:eastAsia="Times New Roman" w:cs="Arial"/>
                <w:sz w:val="20"/>
                <w:szCs w:val="20"/>
              </w:rPr>
              <w:t>Fruita</w:t>
            </w:r>
            <w:proofErr w:type="spellEnd"/>
          </w:p>
        </w:tc>
      </w:tr>
      <w:tr w:rsidR="00E4259E"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E4259E" w:rsidRPr="000C27D2" w:rsidRDefault="00E4259E" w:rsidP="000C27D2">
            <w:pPr>
              <w:spacing w:after="0" w:line="240" w:lineRule="auto"/>
              <w:rPr>
                <w:rFonts w:eastAsia="Times New Roman" w:cs="Arial"/>
                <w:sz w:val="20"/>
                <w:szCs w:val="20"/>
              </w:rPr>
            </w:pPr>
            <w:r>
              <w:rPr>
                <w:rFonts w:eastAsia="Times New Roman" w:cs="Arial"/>
                <w:sz w:val="20"/>
                <w:szCs w:val="20"/>
              </w:rPr>
              <w:t>Little Salt Wash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E4259E" w:rsidRPr="000C27D2" w:rsidRDefault="00E4259E" w:rsidP="000C27D2">
            <w:pPr>
              <w:spacing w:after="0" w:line="240" w:lineRule="auto"/>
              <w:rPr>
                <w:rFonts w:eastAsia="Times New Roman" w:cs="Arial"/>
                <w:sz w:val="20"/>
                <w:szCs w:val="20"/>
              </w:rPr>
            </w:pPr>
            <w:r>
              <w:rPr>
                <w:rFonts w:eastAsia="Times New Roman" w:cs="Arial"/>
                <w:sz w:val="20"/>
                <w:szCs w:val="20"/>
              </w:rPr>
              <w:t xml:space="preserve">City of </w:t>
            </w:r>
            <w:proofErr w:type="spellStart"/>
            <w:r>
              <w:rPr>
                <w:rFonts w:eastAsia="Times New Roman" w:cs="Arial"/>
                <w:sz w:val="20"/>
                <w:szCs w:val="20"/>
              </w:rPr>
              <w:t>Fruita</w:t>
            </w:r>
            <w:proofErr w:type="spellEnd"/>
          </w:p>
        </w:tc>
      </w:tr>
      <w:tr w:rsidR="000C27D2"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Dominguez Escalante NCA Sites - Gunnison River (Sand Flats)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C27D2" w:rsidRPr="000C27D2" w:rsidRDefault="000C27D2" w:rsidP="000C27D2">
            <w:pPr>
              <w:spacing w:after="0" w:line="240" w:lineRule="auto"/>
              <w:rPr>
                <w:rFonts w:eastAsia="Times New Roman" w:cs="Arial"/>
                <w:sz w:val="20"/>
                <w:szCs w:val="20"/>
              </w:rPr>
            </w:pPr>
            <w:r w:rsidRPr="000C27D2">
              <w:rPr>
                <w:rFonts w:eastAsia="Times New Roman" w:cs="Arial"/>
                <w:sz w:val="20"/>
                <w:szCs w:val="20"/>
              </w:rPr>
              <w:t xml:space="preserve">BLM </w:t>
            </w:r>
          </w:p>
        </w:tc>
      </w:tr>
      <w:tr w:rsidR="00496066"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96066" w:rsidRPr="000C27D2" w:rsidRDefault="00496066" w:rsidP="00496066">
            <w:pPr>
              <w:spacing w:after="0" w:line="240" w:lineRule="auto"/>
              <w:rPr>
                <w:rFonts w:eastAsia="Times New Roman" w:cs="Arial"/>
                <w:sz w:val="20"/>
                <w:szCs w:val="20"/>
              </w:rPr>
            </w:pPr>
            <w:r w:rsidRPr="000C27D2">
              <w:rPr>
                <w:rFonts w:eastAsia="Times New Roman" w:cs="Arial"/>
                <w:sz w:val="20"/>
                <w:szCs w:val="20"/>
              </w:rPr>
              <w:t>Dominguez Escalante NCA Sites - Gunnison River (</w:t>
            </w:r>
            <w:proofErr w:type="spellStart"/>
            <w:r>
              <w:rPr>
                <w:rFonts w:eastAsia="Times New Roman" w:cs="Arial"/>
                <w:sz w:val="20"/>
                <w:szCs w:val="20"/>
              </w:rPr>
              <w:t>Leonards</w:t>
            </w:r>
            <w:proofErr w:type="spellEnd"/>
            <w:r>
              <w:rPr>
                <w:rFonts w:eastAsia="Times New Roman" w:cs="Arial"/>
                <w:sz w:val="20"/>
                <w:szCs w:val="20"/>
              </w:rPr>
              <w:t xml:space="preserve"> Basin</w:t>
            </w:r>
            <w:r w:rsidRPr="000C27D2">
              <w:rPr>
                <w:rFonts w:eastAsia="Times New Roman" w:cs="Arial"/>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96066" w:rsidRPr="000C27D2" w:rsidRDefault="00496066" w:rsidP="00496066">
            <w:pPr>
              <w:spacing w:after="0" w:line="240" w:lineRule="auto"/>
              <w:rPr>
                <w:rFonts w:eastAsia="Times New Roman" w:cs="Arial"/>
                <w:sz w:val="20"/>
                <w:szCs w:val="20"/>
              </w:rPr>
            </w:pPr>
            <w:r w:rsidRPr="000C27D2">
              <w:rPr>
                <w:rFonts w:eastAsia="Times New Roman" w:cs="Arial"/>
                <w:sz w:val="20"/>
                <w:szCs w:val="20"/>
              </w:rPr>
              <w:t xml:space="preserve">BLM </w:t>
            </w:r>
          </w:p>
        </w:tc>
      </w:tr>
      <w:tr w:rsidR="00496066" w:rsidRPr="000C27D2" w:rsidTr="0049606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96066" w:rsidRPr="000C27D2" w:rsidRDefault="00496066" w:rsidP="00496066">
            <w:pPr>
              <w:spacing w:after="0" w:line="240" w:lineRule="auto"/>
              <w:rPr>
                <w:rFonts w:eastAsia="Times New Roman" w:cs="Arial"/>
                <w:sz w:val="20"/>
                <w:szCs w:val="20"/>
              </w:rPr>
            </w:pPr>
            <w:r w:rsidRPr="000C27D2">
              <w:rPr>
                <w:rFonts w:eastAsia="Times New Roman" w:cs="Arial"/>
                <w:sz w:val="20"/>
                <w:szCs w:val="20"/>
              </w:rPr>
              <w:t>Dominguez Escalante NCA Sites - Gunnison River (</w:t>
            </w:r>
            <w:proofErr w:type="spellStart"/>
            <w:r>
              <w:rPr>
                <w:rFonts w:eastAsia="Times New Roman" w:cs="Arial"/>
                <w:sz w:val="20"/>
                <w:szCs w:val="20"/>
              </w:rPr>
              <w:t>Leonards</w:t>
            </w:r>
            <w:proofErr w:type="spellEnd"/>
            <w:r>
              <w:rPr>
                <w:rFonts w:eastAsia="Times New Roman" w:cs="Arial"/>
                <w:sz w:val="20"/>
                <w:szCs w:val="20"/>
              </w:rPr>
              <w:t xml:space="preserve"> </w:t>
            </w:r>
            <w:proofErr w:type="gramStart"/>
            <w:r>
              <w:rPr>
                <w:rFonts w:eastAsia="Times New Roman" w:cs="Arial"/>
                <w:sz w:val="20"/>
                <w:szCs w:val="20"/>
              </w:rPr>
              <w:t xml:space="preserve">Basin </w:t>
            </w:r>
            <w:r w:rsidRPr="000C27D2">
              <w:rPr>
                <w:rFonts w:eastAsia="Times New Roman" w:cs="Arial"/>
                <w:sz w:val="20"/>
                <w:szCs w:val="20"/>
              </w:rPr>
              <w:t>)</w:t>
            </w:r>
            <w:proofErr w:type="gramEnd"/>
            <w:r w:rsidRPr="000C27D2">
              <w:rPr>
                <w:rFonts w:eastAsia="Times New Roman" w:cs="Arial"/>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96066" w:rsidRPr="000C27D2" w:rsidRDefault="00562E9F" w:rsidP="00496066">
            <w:pPr>
              <w:spacing w:after="0" w:line="240" w:lineRule="auto"/>
              <w:rPr>
                <w:rFonts w:eastAsia="Times New Roman" w:cs="Arial"/>
                <w:sz w:val="20"/>
                <w:szCs w:val="20"/>
              </w:rPr>
            </w:pPr>
            <w:r>
              <w:rPr>
                <w:rFonts w:eastAsia="Times New Roman" w:cs="Arial"/>
                <w:sz w:val="20"/>
                <w:szCs w:val="20"/>
              </w:rPr>
              <w:t>BLM</w:t>
            </w:r>
          </w:p>
        </w:tc>
      </w:tr>
    </w:tbl>
    <w:p w:rsidR="001D26AC" w:rsidRPr="001D26AC" w:rsidRDefault="001D26AC" w:rsidP="001D26AC"/>
    <w:p w:rsidR="007F12D6" w:rsidRPr="007F12D6" w:rsidRDefault="007F12D6" w:rsidP="00286C56">
      <w:pPr>
        <w:rPr>
          <w:sz w:val="22"/>
          <w:szCs w:val="22"/>
        </w:rPr>
      </w:pPr>
    </w:p>
    <w:p w:rsidR="007F12D6" w:rsidRPr="007F12D6" w:rsidRDefault="007F12D6" w:rsidP="007F12D6">
      <w:pPr>
        <w:pStyle w:val="Heading1"/>
        <w:rPr>
          <w:rFonts w:ascii="Times New Roman" w:eastAsia="Times New Roman" w:hAnsi="Times New Roman"/>
          <w:sz w:val="24"/>
          <w:szCs w:val="24"/>
        </w:rPr>
      </w:pPr>
      <w:r w:rsidRPr="007F12D6">
        <w:rPr>
          <w:rFonts w:eastAsia="Times New Roman"/>
          <w:sz w:val="24"/>
          <w:szCs w:val="24"/>
        </w:rPr>
        <w:lastRenderedPageBreak/>
        <w:t>References</w:t>
      </w:r>
    </w:p>
    <w:p w:rsidR="007F12D6" w:rsidRPr="007F12D6" w:rsidRDefault="007F12D6" w:rsidP="007F12D6">
      <w:pPr>
        <w:spacing w:after="0" w:line="240" w:lineRule="auto"/>
        <w:rPr>
          <w:rFonts w:eastAsia="Times New Roman" w:cs="Times New Roman"/>
          <w:sz w:val="22"/>
          <w:szCs w:val="22"/>
        </w:rPr>
      </w:pPr>
      <w:r w:rsidRPr="007F12D6">
        <w:rPr>
          <w:rFonts w:eastAsia="Times New Roman" w:cs="Times New Roman"/>
          <w:color w:val="000000"/>
          <w:sz w:val="22"/>
          <w:szCs w:val="22"/>
          <w:shd w:val="clear" w:color="auto" w:fill="FFFFFF"/>
        </w:rPr>
        <w:t>Cagney, J. (1993). </w:t>
      </w:r>
      <w:r w:rsidRPr="007F12D6">
        <w:rPr>
          <w:rFonts w:eastAsia="Times New Roman" w:cs="Times New Roman"/>
          <w:i/>
          <w:iCs/>
          <w:color w:val="000000"/>
          <w:sz w:val="22"/>
          <w:szCs w:val="22"/>
        </w:rPr>
        <w:t>Greenline Riparian-wetland Monitoring: Riparian Area Management</w:t>
      </w:r>
      <w:r w:rsidRPr="007F12D6">
        <w:rPr>
          <w:rFonts w:eastAsia="Times New Roman" w:cs="Times New Roman"/>
          <w:color w:val="000000"/>
          <w:sz w:val="22"/>
          <w:szCs w:val="22"/>
          <w:shd w:val="clear" w:color="auto" w:fill="FFFFFF"/>
        </w:rPr>
        <w:t>. Retrieved from https://play.google.com/books/reader?id=-EVgRKgCbqYC&amp;hl=en&amp;pg=GBS.PP3</w:t>
      </w:r>
    </w:p>
    <w:p w:rsidR="007F12D6" w:rsidRPr="007F12D6" w:rsidRDefault="007F12D6" w:rsidP="007F12D6">
      <w:pPr>
        <w:spacing w:after="0" w:line="240" w:lineRule="auto"/>
        <w:rPr>
          <w:rFonts w:eastAsia="Times New Roman" w:cs="Times New Roman"/>
          <w:sz w:val="22"/>
          <w:szCs w:val="22"/>
        </w:rPr>
      </w:pPr>
    </w:p>
    <w:p w:rsidR="007F12D6" w:rsidRPr="007F12D6" w:rsidRDefault="007F12D6" w:rsidP="007F12D6">
      <w:pPr>
        <w:spacing w:after="0" w:line="240" w:lineRule="auto"/>
        <w:rPr>
          <w:rFonts w:eastAsia="Times New Roman" w:cs="Times New Roman"/>
          <w:color w:val="000000"/>
          <w:sz w:val="22"/>
          <w:szCs w:val="22"/>
          <w:shd w:val="clear" w:color="auto" w:fill="FFFFFF"/>
        </w:rPr>
      </w:pPr>
      <w:r w:rsidRPr="007F12D6">
        <w:rPr>
          <w:rFonts w:eastAsia="Times New Roman" w:cs="Times New Roman"/>
          <w:color w:val="000000"/>
          <w:sz w:val="22"/>
          <w:szCs w:val="22"/>
          <w:shd w:val="clear" w:color="auto" w:fill="FFFFFF"/>
        </w:rPr>
        <w:t>Coble, A. P., &amp; Kolb, T. E. (2012). Riparian Tree Growth Response to Drought and Altered Streamflow along the Dolores River, Colorado. </w:t>
      </w:r>
      <w:r w:rsidRPr="007F12D6">
        <w:rPr>
          <w:rFonts w:eastAsia="Times New Roman" w:cs="Times New Roman"/>
          <w:i/>
          <w:iCs/>
          <w:color w:val="000000"/>
          <w:sz w:val="22"/>
          <w:szCs w:val="22"/>
        </w:rPr>
        <w:t>Western Journal of Applied Forestry</w:t>
      </w:r>
      <w:r w:rsidRPr="007F12D6">
        <w:rPr>
          <w:rFonts w:eastAsia="Times New Roman" w:cs="Times New Roman"/>
          <w:color w:val="000000"/>
          <w:sz w:val="22"/>
          <w:szCs w:val="22"/>
          <w:shd w:val="clear" w:color="auto" w:fill="FFFFFF"/>
        </w:rPr>
        <w:t>, </w:t>
      </w:r>
      <w:r w:rsidRPr="007F12D6">
        <w:rPr>
          <w:rFonts w:eastAsia="Times New Roman" w:cs="Times New Roman"/>
          <w:i/>
          <w:iCs/>
          <w:color w:val="000000"/>
          <w:sz w:val="22"/>
          <w:szCs w:val="22"/>
        </w:rPr>
        <w:t>27</w:t>
      </w:r>
      <w:r w:rsidRPr="007F12D6">
        <w:rPr>
          <w:rFonts w:eastAsia="Times New Roman" w:cs="Times New Roman"/>
          <w:color w:val="000000"/>
          <w:sz w:val="22"/>
          <w:szCs w:val="22"/>
          <w:shd w:val="clear" w:color="auto" w:fill="FFFFFF"/>
        </w:rPr>
        <w:t xml:space="preserve">(4), 205–211. </w:t>
      </w:r>
      <w:proofErr w:type="spellStart"/>
      <w:r w:rsidRPr="007F12D6">
        <w:rPr>
          <w:rFonts w:eastAsia="Times New Roman" w:cs="Times New Roman"/>
          <w:color w:val="000000"/>
          <w:sz w:val="22"/>
          <w:szCs w:val="22"/>
          <w:shd w:val="clear" w:color="auto" w:fill="FFFFFF"/>
        </w:rPr>
        <w:t>doi</w:t>
      </w:r>
      <w:proofErr w:type="spellEnd"/>
      <w:r w:rsidRPr="007F12D6">
        <w:rPr>
          <w:rFonts w:eastAsia="Times New Roman" w:cs="Times New Roman"/>
          <w:color w:val="000000"/>
          <w:sz w:val="22"/>
          <w:szCs w:val="22"/>
          <w:shd w:val="clear" w:color="auto" w:fill="FFFFFF"/>
        </w:rPr>
        <w:t>: 10.5849/wjaf.12-001</w:t>
      </w:r>
    </w:p>
    <w:p w:rsidR="007F12D6" w:rsidRPr="007F12D6" w:rsidRDefault="007F12D6" w:rsidP="007F12D6">
      <w:pPr>
        <w:spacing w:after="0" w:line="240" w:lineRule="auto"/>
        <w:rPr>
          <w:rFonts w:eastAsia="Times New Roman" w:cs="Times New Roman"/>
          <w:sz w:val="22"/>
          <w:szCs w:val="22"/>
        </w:rPr>
      </w:pPr>
    </w:p>
    <w:p w:rsidR="007F12D6" w:rsidRPr="007F12D6" w:rsidRDefault="007F12D6" w:rsidP="007F12D6">
      <w:pPr>
        <w:spacing w:after="0" w:line="240" w:lineRule="auto"/>
        <w:rPr>
          <w:rFonts w:eastAsia="Times New Roman" w:cs="Times New Roman"/>
          <w:sz w:val="22"/>
          <w:szCs w:val="22"/>
        </w:rPr>
      </w:pPr>
      <w:r w:rsidRPr="007F12D6">
        <w:rPr>
          <w:rFonts w:eastAsia="Times New Roman" w:cs="Times New Roman"/>
          <w:sz w:val="22"/>
          <w:szCs w:val="22"/>
        </w:rPr>
        <w:t xml:space="preserve">Kasyon, E. 2021. Dolores River Restoration Partnership 2021 Rapid Monitoring Plan. Conservation Legacy. </w:t>
      </w:r>
    </w:p>
    <w:p w:rsidR="007F12D6" w:rsidRPr="007F12D6" w:rsidRDefault="007F12D6" w:rsidP="007F12D6">
      <w:pPr>
        <w:spacing w:after="0" w:line="240" w:lineRule="auto"/>
        <w:rPr>
          <w:rFonts w:eastAsia="Times New Roman" w:cs="Times New Roman"/>
          <w:sz w:val="22"/>
          <w:szCs w:val="22"/>
        </w:rPr>
      </w:pPr>
    </w:p>
    <w:p w:rsidR="007F12D6" w:rsidRPr="007F12D6" w:rsidRDefault="007F12D6" w:rsidP="007F12D6">
      <w:pPr>
        <w:spacing w:after="0" w:line="240" w:lineRule="auto"/>
        <w:rPr>
          <w:rFonts w:eastAsia="Times New Roman" w:cs="Times New Roman"/>
          <w:sz w:val="22"/>
          <w:szCs w:val="22"/>
        </w:rPr>
      </w:pPr>
      <w:r w:rsidRPr="007F12D6">
        <w:rPr>
          <w:rFonts w:eastAsia="Times New Roman" w:cs="Times New Roman"/>
          <w:color w:val="000000"/>
          <w:sz w:val="22"/>
          <w:szCs w:val="22"/>
        </w:rPr>
        <w:t>G.L. Waring and L. E. Stevens, “The Effects of Recent Flooding on Riparian Plant Establishment in Grand Canyon,” in Glen Canyon Environmental Studies: Executive Summaries of Technical Reports. (1988). United States: U.S. Department of the Interior, [Bureau of Reclamation, Upper Colorado Regional Office].</w:t>
      </w:r>
    </w:p>
    <w:p w:rsidR="007F12D6" w:rsidRPr="007F12D6" w:rsidRDefault="007F12D6" w:rsidP="007F12D6">
      <w:pPr>
        <w:spacing w:after="0" w:line="240" w:lineRule="auto"/>
        <w:rPr>
          <w:rFonts w:eastAsia="Times New Roman" w:cs="Times New Roman"/>
          <w:sz w:val="22"/>
          <w:szCs w:val="22"/>
        </w:rPr>
      </w:pPr>
    </w:p>
    <w:p w:rsidR="007F12D6" w:rsidRPr="007F12D6" w:rsidRDefault="007F12D6" w:rsidP="007F12D6">
      <w:pPr>
        <w:spacing w:after="0" w:line="240" w:lineRule="auto"/>
        <w:rPr>
          <w:rFonts w:eastAsia="Times New Roman" w:cs="Times New Roman"/>
          <w:sz w:val="22"/>
          <w:szCs w:val="22"/>
        </w:rPr>
      </w:pPr>
      <w:proofErr w:type="spellStart"/>
      <w:r w:rsidRPr="007F12D6">
        <w:rPr>
          <w:rFonts w:eastAsia="Times New Roman" w:cs="Times New Roman"/>
          <w:color w:val="000000"/>
          <w:sz w:val="22"/>
          <w:szCs w:val="22"/>
          <w:shd w:val="clear" w:color="auto" w:fill="FFFFFF"/>
        </w:rPr>
        <w:t>Ottenbreit</w:t>
      </w:r>
      <w:proofErr w:type="spellEnd"/>
      <w:r w:rsidRPr="007F12D6">
        <w:rPr>
          <w:rFonts w:eastAsia="Times New Roman" w:cs="Times New Roman"/>
          <w:color w:val="000000"/>
          <w:sz w:val="22"/>
          <w:szCs w:val="22"/>
          <w:shd w:val="clear" w:color="auto" w:fill="FFFFFF"/>
        </w:rPr>
        <w:t xml:space="preserve">, K. A., &amp; </w:t>
      </w:r>
      <w:proofErr w:type="spellStart"/>
      <w:r w:rsidRPr="007F12D6">
        <w:rPr>
          <w:rFonts w:eastAsia="Times New Roman" w:cs="Times New Roman"/>
          <w:color w:val="000000"/>
          <w:sz w:val="22"/>
          <w:szCs w:val="22"/>
          <w:shd w:val="clear" w:color="auto" w:fill="FFFFFF"/>
        </w:rPr>
        <w:t>Staniforth</w:t>
      </w:r>
      <w:proofErr w:type="spellEnd"/>
      <w:r w:rsidRPr="007F12D6">
        <w:rPr>
          <w:rFonts w:eastAsia="Times New Roman" w:cs="Times New Roman"/>
          <w:color w:val="000000"/>
          <w:sz w:val="22"/>
          <w:szCs w:val="22"/>
          <w:shd w:val="clear" w:color="auto" w:fill="FFFFFF"/>
        </w:rPr>
        <w:t xml:space="preserve">, R. J. (1992). Life cycle and age structure of ramets in an expanding population of Salix </w:t>
      </w:r>
      <w:proofErr w:type="spellStart"/>
      <w:r w:rsidRPr="007F12D6">
        <w:rPr>
          <w:rFonts w:eastAsia="Times New Roman" w:cs="Times New Roman"/>
          <w:color w:val="000000"/>
          <w:sz w:val="22"/>
          <w:szCs w:val="22"/>
          <w:shd w:val="clear" w:color="auto" w:fill="FFFFFF"/>
        </w:rPr>
        <w:t>exigua</w:t>
      </w:r>
      <w:proofErr w:type="spellEnd"/>
      <w:r w:rsidRPr="007F12D6">
        <w:rPr>
          <w:rFonts w:eastAsia="Times New Roman" w:cs="Times New Roman"/>
          <w:color w:val="000000"/>
          <w:sz w:val="22"/>
          <w:szCs w:val="22"/>
          <w:shd w:val="clear" w:color="auto" w:fill="FFFFFF"/>
        </w:rPr>
        <w:t xml:space="preserve"> (sandbar willow). </w:t>
      </w:r>
      <w:r w:rsidRPr="007F12D6">
        <w:rPr>
          <w:rFonts w:eastAsia="Times New Roman" w:cs="Times New Roman"/>
          <w:i/>
          <w:iCs/>
          <w:color w:val="000000"/>
          <w:sz w:val="22"/>
          <w:szCs w:val="22"/>
        </w:rPr>
        <w:t>Canadian Journal of Botany</w:t>
      </w:r>
      <w:r w:rsidRPr="007F12D6">
        <w:rPr>
          <w:rFonts w:eastAsia="Times New Roman" w:cs="Times New Roman"/>
          <w:color w:val="000000"/>
          <w:sz w:val="22"/>
          <w:szCs w:val="22"/>
          <w:shd w:val="clear" w:color="auto" w:fill="FFFFFF"/>
        </w:rPr>
        <w:t>, </w:t>
      </w:r>
      <w:r w:rsidRPr="007F12D6">
        <w:rPr>
          <w:rFonts w:eastAsia="Times New Roman" w:cs="Times New Roman"/>
          <w:i/>
          <w:iCs/>
          <w:color w:val="000000"/>
          <w:sz w:val="22"/>
          <w:szCs w:val="22"/>
        </w:rPr>
        <w:t>70</w:t>
      </w:r>
      <w:r w:rsidRPr="007F12D6">
        <w:rPr>
          <w:rFonts w:eastAsia="Times New Roman" w:cs="Times New Roman"/>
          <w:color w:val="000000"/>
          <w:sz w:val="22"/>
          <w:szCs w:val="22"/>
          <w:shd w:val="clear" w:color="auto" w:fill="FFFFFF"/>
        </w:rPr>
        <w:t xml:space="preserve">(6), 1141–1146. </w:t>
      </w:r>
      <w:proofErr w:type="spellStart"/>
      <w:r w:rsidRPr="007F12D6">
        <w:rPr>
          <w:rFonts w:eastAsia="Times New Roman" w:cs="Times New Roman"/>
          <w:color w:val="000000"/>
          <w:sz w:val="22"/>
          <w:szCs w:val="22"/>
          <w:shd w:val="clear" w:color="auto" w:fill="FFFFFF"/>
        </w:rPr>
        <w:t>doi</w:t>
      </w:r>
      <w:proofErr w:type="spellEnd"/>
      <w:r w:rsidRPr="007F12D6">
        <w:rPr>
          <w:rFonts w:eastAsia="Times New Roman" w:cs="Times New Roman"/>
          <w:color w:val="000000"/>
          <w:sz w:val="22"/>
          <w:szCs w:val="22"/>
          <w:shd w:val="clear" w:color="auto" w:fill="FFFFFF"/>
        </w:rPr>
        <w:t>: 10.1139/b92-141</w:t>
      </w:r>
    </w:p>
    <w:p w:rsidR="00286C56" w:rsidRPr="007F12D6" w:rsidRDefault="007F12D6" w:rsidP="007F12D6">
      <w:pPr>
        <w:pStyle w:val="NormalWeb"/>
        <w:spacing w:before="0" w:beforeAutospacing="0" w:after="160" w:afterAutospacing="0"/>
        <w:rPr>
          <w:rFonts w:asciiTheme="minorHAnsi" w:hAnsiTheme="minorHAnsi"/>
          <w:sz w:val="22"/>
          <w:szCs w:val="22"/>
        </w:rPr>
      </w:pPr>
      <w:r w:rsidRPr="007F12D6">
        <w:rPr>
          <w:rFonts w:asciiTheme="minorHAnsi" w:hAnsiTheme="minorHAnsi"/>
          <w:sz w:val="22"/>
          <w:szCs w:val="22"/>
        </w:rPr>
        <w:br/>
      </w:r>
      <w:r w:rsidRPr="007F12D6">
        <w:rPr>
          <w:rFonts w:asciiTheme="minorHAnsi" w:hAnsiTheme="minorHAnsi"/>
          <w:color w:val="000000"/>
          <w:sz w:val="22"/>
          <w:szCs w:val="22"/>
          <w:shd w:val="clear" w:color="auto" w:fill="FFFFFF"/>
        </w:rPr>
        <w:t>Winward, A. H. (2000). </w:t>
      </w:r>
      <w:r w:rsidRPr="007F12D6">
        <w:rPr>
          <w:rFonts w:asciiTheme="minorHAnsi" w:hAnsiTheme="minorHAnsi"/>
          <w:i/>
          <w:iCs/>
          <w:color w:val="000000"/>
          <w:sz w:val="22"/>
          <w:szCs w:val="22"/>
        </w:rPr>
        <w:t>Monitoring the vegetation resources in riparian areas</w:t>
      </w:r>
      <w:r w:rsidRPr="007F12D6">
        <w:rPr>
          <w:rFonts w:asciiTheme="minorHAnsi" w:hAnsiTheme="minorHAnsi"/>
          <w:color w:val="000000"/>
          <w:sz w:val="22"/>
          <w:szCs w:val="22"/>
          <w:shd w:val="clear" w:color="auto" w:fill="FFFFFF"/>
        </w:rPr>
        <w:t>. Retrieved from https://www.fs.fed.us/rm/pubs/rmrs_gtr047.pdf</w:t>
      </w:r>
    </w:p>
    <w:p w:rsidR="007460A1" w:rsidRPr="007460A1" w:rsidRDefault="007460A1" w:rsidP="007460A1"/>
    <w:p w:rsidR="00B46605" w:rsidRPr="00042CD2" w:rsidRDefault="00B46605" w:rsidP="00B46605">
      <w:pPr>
        <w:pStyle w:val="ListParagraph"/>
        <w:ind w:left="1440"/>
      </w:pPr>
    </w:p>
    <w:p w:rsidR="0095113F" w:rsidRDefault="0095113F" w:rsidP="0095113F"/>
    <w:p w:rsidR="0095113F" w:rsidRPr="0095113F" w:rsidRDefault="0095113F" w:rsidP="0095113F"/>
    <w:p w:rsidR="00AF146F" w:rsidRDefault="00AF146F"/>
    <w:sectPr w:rsidR="00AF146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E5C" w:rsidRDefault="00236E5C" w:rsidP="00B46605">
      <w:pPr>
        <w:spacing w:after="0" w:line="240" w:lineRule="auto"/>
      </w:pPr>
      <w:r>
        <w:separator/>
      </w:r>
    </w:p>
  </w:endnote>
  <w:endnote w:type="continuationSeparator" w:id="0">
    <w:p w:rsidR="00236E5C" w:rsidRDefault="00236E5C" w:rsidP="00B4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00691"/>
      <w:docPartObj>
        <w:docPartGallery w:val="Page Numbers (Bottom of Page)"/>
        <w:docPartUnique/>
      </w:docPartObj>
    </w:sdtPr>
    <w:sdtEndPr>
      <w:rPr>
        <w:noProof/>
      </w:rPr>
    </w:sdtEndPr>
    <w:sdtContent>
      <w:p w:rsidR="00B46605" w:rsidRDefault="00B46605">
        <w:pPr>
          <w:pStyle w:val="Footer"/>
          <w:jc w:val="center"/>
        </w:pPr>
      </w:p>
      <w:p w:rsidR="00B46605" w:rsidRDefault="00B466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46605" w:rsidRDefault="00B46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E5C" w:rsidRDefault="00236E5C" w:rsidP="00B46605">
      <w:pPr>
        <w:spacing w:after="0" w:line="240" w:lineRule="auto"/>
      </w:pPr>
      <w:r>
        <w:separator/>
      </w:r>
    </w:p>
  </w:footnote>
  <w:footnote w:type="continuationSeparator" w:id="0">
    <w:p w:rsidR="00236E5C" w:rsidRDefault="00236E5C" w:rsidP="00B46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64AA3"/>
    <w:multiLevelType w:val="hybridMultilevel"/>
    <w:tmpl w:val="026C40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54AD9"/>
    <w:multiLevelType w:val="hybridMultilevel"/>
    <w:tmpl w:val="7C4C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4096F"/>
    <w:multiLevelType w:val="hybridMultilevel"/>
    <w:tmpl w:val="2120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C1A16"/>
    <w:multiLevelType w:val="hybridMultilevel"/>
    <w:tmpl w:val="C2C23C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3FD8"/>
    <w:multiLevelType w:val="hybridMultilevel"/>
    <w:tmpl w:val="018E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D0518"/>
    <w:multiLevelType w:val="multilevel"/>
    <w:tmpl w:val="1770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804AF"/>
    <w:multiLevelType w:val="multilevel"/>
    <w:tmpl w:val="BC606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B21AD"/>
    <w:multiLevelType w:val="hybridMultilevel"/>
    <w:tmpl w:val="2444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E1B44"/>
    <w:multiLevelType w:val="multilevel"/>
    <w:tmpl w:val="546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A5591"/>
    <w:multiLevelType w:val="multilevel"/>
    <w:tmpl w:val="B6FC7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03321"/>
    <w:multiLevelType w:val="hybridMultilevel"/>
    <w:tmpl w:val="4F304E84"/>
    <w:lvl w:ilvl="0" w:tplc="3D6E0B6A">
      <w:start w:val="1"/>
      <w:numFmt w:val="upperRoman"/>
      <w:lvlText w:val="%1."/>
      <w:lvlJc w:val="righ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A7CDC"/>
    <w:multiLevelType w:val="hybridMultilevel"/>
    <w:tmpl w:val="4F304E84"/>
    <w:lvl w:ilvl="0" w:tplc="3D6E0B6A">
      <w:start w:val="1"/>
      <w:numFmt w:val="upperRoman"/>
      <w:lvlText w:val="%1."/>
      <w:lvlJc w:val="righ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A3781"/>
    <w:multiLevelType w:val="hybridMultilevel"/>
    <w:tmpl w:val="37E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33D1F"/>
    <w:multiLevelType w:val="hybridMultilevel"/>
    <w:tmpl w:val="C204A2DE"/>
    <w:lvl w:ilvl="0" w:tplc="2A16D292">
      <w:start w:val="1"/>
      <w:numFmt w:val="upperRoman"/>
      <w:lvlText w:val="%1."/>
      <w:lvlJc w:val="righ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50609"/>
    <w:multiLevelType w:val="hybridMultilevel"/>
    <w:tmpl w:val="273A5E82"/>
    <w:lvl w:ilvl="0" w:tplc="9ECED66A">
      <w:start w:val="1"/>
      <w:numFmt w:val="upperLetter"/>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31D4B"/>
    <w:multiLevelType w:val="hybridMultilevel"/>
    <w:tmpl w:val="1FA092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26DD3"/>
    <w:multiLevelType w:val="multilevel"/>
    <w:tmpl w:val="F692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22352"/>
    <w:multiLevelType w:val="hybridMultilevel"/>
    <w:tmpl w:val="78FC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31E5E"/>
    <w:multiLevelType w:val="hybridMultilevel"/>
    <w:tmpl w:val="73003B08"/>
    <w:lvl w:ilvl="0" w:tplc="B1B4CFC8">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964C6"/>
    <w:multiLevelType w:val="multilevel"/>
    <w:tmpl w:val="BF628C3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32179C"/>
    <w:multiLevelType w:val="hybridMultilevel"/>
    <w:tmpl w:val="C050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74654"/>
    <w:multiLevelType w:val="hybridMultilevel"/>
    <w:tmpl w:val="BBD20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7"/>
  </w:num>
  <w:num w:numId="5">
    <w:abstractNumId w:val="12"/>
  </w:num>
  <w:num w:numId="6">
    <w:abstractNumId w:val="19"/>
  </w:num>
  <w:num w:numId="7">
    <w:abstractNumId w:val="2"/>
  </w:num>
  <w:num w:numId="8">
    <w:abstractNumId w:val="20"/>
  </w:num>
  <w:num w:numId="9">
    <w:abstractNumId w:val="0"/>
  </w:num>
  <w:num w:numId="10">
    <w:abstractNumId w:val="5"/>
  </w:num>
  <w:num w:numId="11">
    <w:abstractNumId w:val="8"/>
  </w:num>
  <w:num w:numId="12">
    <w:abstractNumId w:val="16"/>
  </w:num>
  <w:num w:numId="13">
    <w:abstractNumId w:val="9"/>
  </w:num>
  <w:num w:numId="14">
    <w:abstractNumId w:val="9"/>
    <w:lvlOverride w:ilvl="1">
      <w:lvl w:ilvl="1">
        <w:numFmt w:val="bullet"/>
        <w:lvlText w:val=""/>
        <w:lvlJc w:val="left"/>
        <w:pPr>
          <w:tabs>
            <w:tab w:val="num" w:pos="1440"/>
          </w:tabs>
          <w:ind w:left="1440" w:hanging="360"/>
        </w:pPr>
        <w:rPr>
          <w:rFonts w:ascii="Symbol" w:hAnsi="Symbol" w:hint="default"/>
          <w:sz w:val="20"/>
        </w:rPr>
      </w:lvl>
    </w:lvlOverride>
  </w:num>
  <w:num w:numId="15">
    <w:abstractNumId w:val="6"/>
  </w:num>
  <w:num w:numId="16">
    <w:abstractNumId w:val="6"/>
    <w:lvlOverride w:ilvl="1">
      <w:lvl w:ilvl="1">
        <w:numFmt w:val="bullet"/>
        <w:lvlText w:val=""/>
        <w:lvlJc w:val="left"/>
        <w:pPr>
          <w:tabs>
            <w:tab w:val="num" w:pos="1440"/>
          </w:tabs>
          <w:ind w:left="1440" w:hanging="360"/>
        </w:pPr>
        <w:rPr>
          <w:rFonts w:ascii="Symbol" w:hAnsi="Symbol" w:hint="default"/>
          <w:sz w:val="20"/>
        </w:rPr>
      </w:lvl>
    </w:lvlOverride>
  </w:num>
  <w:num w:numId="17">
    <w:abstractNumId w:val="10"/>
  </w:num>
  <w:num w:numId="18">
    <w:abstractNumId w:val="13"/>
  </w:num>
  <w:num w:numId="19">
    <w:abstractNumId w:val="3"/>
  </w:num>
  <w:num w:numId="20">
    <w:abstractNumId w:val="15"/>
  </w:num>
  <w:num w:numId="21">
    <w:abstractNumId w:val="18"/>
  </w:num>
  <w:num w:numId="22">
    <w:abstractNumId w:val="11"/>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szQxszA3MjM1MTVR0lEKTi0uzszPAykwrQUA0DJ6mSwAAAA="/>
  </w:docVars>
  <w:rsids>
    <w:rsidRoot w:val="00AF146F"/>
    <w:rsid w:val="00020B83"/>
    <w:rsid w:val="00042CD2"/>
    <w:rsid w:val="00075A58"/>
    <w:rsid w:val="00086D78"/>
    <w:rsid w:val="00097643"/>
    <w:rsid w:val="000A157B"/>
    <w:rsid w:val="000C27D2"/>
    <w:rsid w:val="000F3663"/>
    <w:rsid w:val="00120AFC"/>
    <w:rsid w:val="00151435"/>
    <w:rsid w:val="001942B6"/>
    <w:rsid w:val="001B4177"/>
    <w:rsid w:val="001B75F0"/>
    <w:rsid w:val="001D26AC"/>
    <w:rsid w:val="001E7B4F"/>
    <w:rsid w:val="00236E5C"/>
    <w:rsid w:val="002602A3"/>
    <w:rsid w:val="00283AEF"/>
    <w:rsid w:val="00286C56"/>
    <w:rsid w:val="002C26E6"/>
    <w:rsid w:val="002D2393"/>
    <w:rsid w:val="002E1C9E"/>
    <w:rsid w:val="002F1944"/>
    <w:rsid w:val="0036062B"/>
    <w:rsid w:val="00376319"/>
    <w:rsid w:val="00496066"/>
    <w:rsid w:val="004A5AA7"/>
    <w:rsid w:val="00507F0B"/>
    <w:rsid w:val="00562E9F"/>
    <w:rsid w:val="005734A1"/>
    <w:rsid w:val="005D7321"/>
    <w:rsid w:val="005E14F5"/>
    <w:rsid w:val="00696835"/>
    <w:rsid w:val="006E38DC"/>
    <w:rsid w:val="00707335"/>
    <w:rsid w:val="0072041F"/>
    <w:rsid w:val="007460A1"/>
    <w:rsid w:val="00756B58"/>
    <w:rsid w:val="007B1651"/>
    <w:rsid w:val="007F12D6"/>
    <w:rsid w:val="00892291"/>
    <w:rsid w:val="008A62DB"/>
    <w:rsid w:val="0095113F"/>
    <w:rsid w:val="009A0BC7"/>
    <w:rsid w:val="009A3AC2"/>
    <w:rsid w:val="009D1ECF"/>
    <w:rsid w:val="009D66C3"/>
    <w:rsid w:val="00A61DF4"/>
    <w:rsid w:val="00A73ED1"/>
    <w:rsid w:val="00AF146F"/>
    <w:rsid w:val="00AF2A3A"/>
    <w:rsid w:val="00B17672"/>
    <w:rsid w:val="00B41820"/>
    <w:rsid w:val="00B4336B"/>
    <w:rsid w:val="00B443C1"/>
    <w:rsid w:val="00B46605"/>
    <w:rsid w:val="00B80373"/>
    <w:rsid w:val="00C02A02"/>
    <w:rsid w:val="00CB245A"/>
    <w:rsid w:val="00CD7FBA"/>
    <w:rsid w:val="00D222F4"/>
    <w:rsid w:val="00D33C0A"/>
    <w:rsid w:val="00D3500D"/>
    <w:rsid w:val="00D8681B"/>
    <w:rsid w:val="00D931DD"/>
    <w:rsid w:val="00DF0153"/>
    <w:rsid w:val="00E12484"/>
    <w:rsid w:val="00E256C7"/>
    <w:rsid w:val="00E4259E"/>
    <w:rsid w:val="00E5007B"/>
    <w:rsid w:val="00E82551"/>
    <w:rsid w:val="00F017CE"/>
    <w:rsid w:val="00F0464E"/>
    <w:rsid w:val="00F05B0E"/>
    <w:rsid w:val="00F10F98"/>
    <w:rsid w:val="00F2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3521"/>
  <w15:chartTrackingRefBased/>
  <w15:docId w15:val="{AAD509DD-0DBB-4A00-8557-E6E52258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46F"/>
  </w:style>
  <w:style w:type="paragraph" w:styleId="Heading1">
    <w:name w:val="heading 1"/>
    <w:basedOn w:val="Normal"/>
    <w:next w:val="Normal"/>
    <w:link w:val="Heading1Char"/>
    <w:uiPriority w:val="9"/>
    <w:qFormat/>
    <w:rsid w:val="00AF146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AF146F"/>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AF146F"/>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AF146F"/>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AF146F"/>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AF146F"/>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AF146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F146F"/>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AF146F"/>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46F"/>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AF146F"/>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AF146F"/>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AF146F"/>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AF146F"/>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AF146F"/>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AF146F"/>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146F"/>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F146F"/>
    <w:rPr>
      <w:rFonts w:asciiTheme="majorHAnsi" w:eastAsiaTheme="majorEastAsia" w:hAnsiTheme="majorHAnsi" w:cstheme="majorBidi"/>
      <w:i/>
      <w:iCs/>
      <w:caps/>
    </w:rPr>
  </w:style>
  <w:style w:type="paragraph" w:styleId="Caption">
    <w:name w:val="caption"/>
    <w:basedOn w:val="Normal"/>
    <w:next w:val="Normal"/>
    <w:uiPriority w:val="35"/>
    <w:unhideWhenUsed/>
    <w:qFormat/>
    <w:rsid w:val="00AF146F"/>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F146F"/>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AF146F"/>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AF146F"/>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AF146F"/>
    <w:rPr>
      <w:color w:val="000000" w:themeColor="text1"/>
      <w:sz w:val="24"/>
      <w:szCs w:val="24"/>
    </w:rPr>
  </w:style>
  <w:style w:type="character" w:styleId="Strong">
    <w:name w:val="Strong"/>
    <w:basedOn w:val="DefaultParagraphFont"/>
    <w:uiPriority w:val="22"/>
    <w:qFormat/>
    <w:rsid w:val="00AF146F"/>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AF146F"/>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AF146F"/>
    <w:pPr>
      <w:spacing w:after="0" w:line="240" w:lineRule="auto"/>
    </w:pPr>
  </w:style>
  <w:style w:type="paragraph" w:styleId="Quote">
    <w:name w:val="Quote"/>
    <w:basedOn w:val="Normal"/>
    <w:next w:val="Normal"/>
    <w:link w:val="QuoteChar"/>
    <w:uiPriority w:val="29"/>
    <w:qFormat/>
    <w:rsid w:val="00AF146F"/>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F146F"/>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AF146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AF146F"/>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AF146F"/>
    <w:rPr>
      <w:i/>
      <w:iCs/>
      <w:color w:val="auto"/>
    </w:rPr>
  </w:style>
  <w:style w:type="character" w:styleId="IntenseEmphasis">
    <w:name w:val="Intense Emphasis"/>
    <w:basedOn w:val="DefaultParagraphFont"/>
    <w:uiPriority w:val="21"/>
    <w:qFormat/>
    <w:rsid w:val="00AF146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AF146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AF146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AF146F"/>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AF146F"/>
    <w:pPr>
      <w:outlineLvl w:val="9"/>
    </w:pPr>
  </w:style>
  <w:style w:type="paragraph" w:styleId="ListParagraph">
    <w:name w:val="List Paragraph"/>
    <w:basedOn w:val="Normal"/>
    <w:uiPriority w:val="34"/>
    <w:qFormat/>
    <w:rsid w:val="00F26B3E"/>
    <w:pPr>
      <w:ind w:left="720"/>
      <w:contextualSpacing/>
    </w:pPr>
  </w:style>
  <w:style w:type="paragraph" w:styleId="Header">
    <w:name w:val="header"/>
    <w:basedOn w:val="Normal"/>
    <w:link w:val="HeaderChar"/>
    <w:uiPriority w:val="99"/>
    <w:unhideWhenUsed/>
    <w:rsid w:val="00B46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605"/>
  </w:style>
  <w:style w:type="paragraph" w:styleId="Footer">
    <w:name w:val="footer"/>
    <w:basedOn w:val="Normal"/>
    <w:link w:val="FooterChar"/>
    <w:uiPriority w:val="99"/>
    <w:unhideWhenUsed/>
    <w:rsid w:val="00B46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605"/>
  </w:style>
  <w:style w:type="paragraph" w:styleId="NormalWeb">
    <w:name w:val="Normal (Web)"/>
    <w:basedOn w:val="Normal"/>
    <w:uiPriority w:val="99"/>
    <w:unhideWhenUsed/>
    <w:rsid w:val="007460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7643"/>
    <w:rPr>
      <w:color w:val="0563C1" w:themeColor="hyperlink"/>
      <w:u w:val="single"/>
    </w:rPr>
  </w:style>
  <w:style w:type="character" w:styleId="UnresolvedMention">
    <w:name w:val="Unresolved Mention"/>
    <w:basedOn w:val="DefaultParagraphFont"/>
    <w:uiPriority w:val="99"/>
    <w:semiHidden/>
    <w:unhideWhenUsed/>
    <w:rsid w:val="00097643"/>
    <w:rPr>
      <w:color w:val="605E5C"/>
      <w:shd w:val="clear" w:color="auto" w:fill="E1DFDD"/>
    </w:rPr>
  </w:style>
  <w:style w:type="character" w:customStyle="1" w:styleId="apple-tab-span">
    <w:name w:val="apple-tab-span"/>
    <w:basedOn w:val="DefaultParagraphFont"/>
    <w:rsid w:val="007F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89606">
      <w:bodyDiv w:val="1"/>
      <w:marLeft w:val="0"/>
      <w:marRight w:val="0"/>
      <w:marTop w:val="0"/>
      <w:marBottom w:val="0"/>
      <w:divBdr>
        <w:top w:val="none" w:sz="0" w:space="0" w:color="auto"/>
        <w:left w:val="none" w:sz="0" w:space="0" w:color="auto"/>
        <w:bottom w:val="none" w:sz="0" w:space="0" w:color="auto"/>
        <w:right w:val="none" w:sz="0" w:space="0" w:color="auto"/>
      </w:divBdr>
    </w:div>
    <w:div w:id="415329218">
      <w:bodyDiv w:val="1"/>
      <w:marLeft w:val="0"/>
      <w:marRight w:val="0"/>
      <w:marTop w:val="0"/>
      <w:marBottom w:val="0"/>
      <w:divBdr>
        <w:top w:val="none" w:sz="0" w:space="0" w:color="auto"/>
        <w:left w:val="none" w:sz="0" w:space="0" w:color="auto"/>
        <w:bottom w:val="none" w:sz="0" w:space="0" w:color="auto"/>
        <w:right w:val="none" w:sz="0" w:space="0" w:color="auto"/>
      </w:divBdr>
    </w:div>
    <w:div w:id="1131827348">
      <w:bodyDiv w:val="1"/>
      <w:marLeft w:val="0"/>
      <w:marRight w:val="0"/>
      <w:marTop w:val="0"/>
      <w:marBottom w:val="0"/>
      <w:divBdr>
        <w:top w:val="none" w:sz="0" w:space="0" w:color="auto"/>
        <w:left w:val="none" w:sz="0" w:space="0" w:color="auto"/>
        <w:bottom w:val="none" w:sz="0" w:space="0" w:color="auto"/>
        <w:right w:val="none" w:sz="0" w:space="0" w:color="auto"/>
      </w:divBdr>
    </w:div>
    <w:div w:id="1268271961">
      <w:bodyDiv w:val="1"/>
      <w:marLeft w:val="0"/>
      <w:marRight w:val="0"/>
      <w:marTop w:val="0"/>
      <w:marBottom w:val="0"/>
      <w:divBdr>
        <w:top w:val="none" w:sz="0" w:space="0" w:color="auto"/>
        <w:left w:val="none" w:sz="0" w:space="0" w:color="auto"/>
        <w:bottom w:val="none" w:sz="0" w:space="0" w:color="auto"/>
        <w:right w:val="none" w:sz="0" w:space="0" w:color="auto"/>
      </w:divBdr>
    </w:div>
    <w:div w:id="1402681183">
      <w:bodyDiv w:val="1"/>
      <w:marLeft w:val="0"/>
      <w:marRight w:val="0"/>
      <w:marTop w:val="0"/>
      <w:marBottom w:val="0"/>
      <w:divBdr>
        <w:top w:val="none" w:sz="0" w:space="0" w:color="auto"/>
        <w:left w:val="none" w:sz="0" w:space="0" w:color="auto"/>
        <w:bottom w:val="none" w:sz="0" w:space="0" w:color="auto"/>
        <w:right w:val="none" w:sz="0" w:space="0" w:color="auto"/>
      </w:divBdr>
      <w:divsChild>
        <w:div w:id="897941282">
          <w:marLeft w:val="0"/>
          <w:marRight w:val="0"/>
          <w:marTop w:val="0"/>
          <w:marBottom w:val="0"/>
          <w:divBdr>
            <w:top w:val="none" w:sz="0" w:space="0" w:color="auto"/>
            <w:left w:val="none" w:sz="0" w:space="0" w:color="auto"/>
            <w:bottom w:val="none" w:sz="0" w:space="0" w:color="auto"/>
            <w:right w:val="none" w:sz="0" w:space="0" w:color="auto"/>
          </w:divBdr>
          <w:divsChild>
            <w:div w:id="1796294906">
              <w:marLeft w:val="0"/>
              <w:marRight w:val="0"/>
              <w:marTop w:val="0"/>
              <w:marBottom w:val="0"/>
              <w:divBdr>
                <w:top w:val="none" w:sz="0" w:space="0" w:color="auto"/>
                <w:left w:val="none" w:sz="0" w:space="0" w:color="auto"/>
                <w:bottom w:val="none" w:sz="0" w:space="0" w:color="auto"/>
                <w:right w:val="none" w:sz="0" w:space="0" w:color="auto"/>
              </w:divBdr>
              <w:divsChild>
                <w:div w:id="4626951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82118839">
      <w:bodyDiv w:val="1"/>
      <w:marLeft w:val="0"/>
      <w:marRight w:val="0"/>
      <w:marTop w:val="0"/>
      <w:marBottom w:val="0"/>
      <w:divBdr>
        <w:top w:val="none" w:sz="0" w:space="0" w:color="auto"/>
        <w:left w:val="none" w:sz="0" w:space="0" w:color="auto"/>
        <w:bottom w:val="none" w:sz="0" w:space="0" w:color="auto"/>
        <w:right w:val="none" w:sz="0" w:space="0" w:color="auto"/>
      </w:divBdr>
    </w:div>
    <w:div w:id="20035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iversedgewest.org/sites/default/files/files/2015_06_03_DRC_Plan_Final_V1.pdf"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ogle.com/search?q=tree+of+heaven+scientific+name&amp;rlz=1C1CHBF_enUS832US832&amp;tbm=isch&amp;source=iu&amp;ictx=1&amp;fir=73QAPXu61vpDCM%252CP-3Lo7ZyBaFGnM%252C%252Fm%252F05np0b&amp;vet=1&amp;usg=AI4_-kTbaPnLzw2dEirEHmMPYHS5Fa4AZA&amp;sa=X&amp;ved=2ahUKEwj-y__UuPnvAhXmHTQIHf6gBZgQ_B16BAgQE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14249</TotalTime>
  <Pages>10</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Riversedgewest</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 Fulton</dc:creator>
  <cp:keywords/>
  <dc:description/>
  <cp:lastModifiedBy>Rica Fulton</cp:lastModifiedBy>
  <cp:revision>14</cp:revision>
  <dcterms:created xsi:type="dcterms:W3CDTF">2021-03-03T18:24:00Z</dcterms:created>
  <dcterms:modified xsi:type="dcterms:W3CDTF">2021-04-14T19:09:00Z</dcterms:modified>
</cp:coreProperties>
</file>